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65036" w14:textId="461AD5D5" w:rsidR="004901B7" w:rsidRDefault="00503353" w:rsidP="00856821">
      <w:pPr>
        <w:jc w:val="center"/>
        <w:rPr>
          <w:rFonts w:cstheme="minorHAnsi"/>
          <w:b/>
          <w:bCs/>
          <w:sz w:val="28"/>
          <w:szCs w:val="28"/>
        </w:rPr>
      </w:pPr>
      <w:r w:rsidRPr="00503353">
        <w:rPr>
          <w:rFonts w:cstheme="minorHAnsi"/>
          <w:b/>
          <w:bCs/>
          <w:sz w:val="28"/>
          <w:szCs w:val="28"/>
        </w:rPr>
        <w:t xml:space="preserve">GFH </w:t>
      </w:r>
      <w:r w:rsidR="00243D92">
        <w:rPr>
          <w:rFonts w:cstheme="minorHAnsi"/>
          <w:b/>
          <w:bCs/>
          <w:sz w:val="28"/>
          <w:szCs w:val="28"/>
        </w:rPr>
        <w:t xml:space="preserve">Acquires </w:t>
      </w:r>
      <w:r w:rsidR="00D55B2D">
        <w:rPr>
          <w:rFonts w:cstheme="minorHAnsi"/>
          <w:b/>
          <w:bCs/>
          <w:sz w:val="28"/>
          <w:szCs w:val="28"/>
        </w:rPr>
        <w:t xml:space="preserve">Second US Medical Clinics Portfolio Valued at </w:t>
      </w:r>
      <w:r w:rsidR="00D55B2D" w:rsidRPr="004901B7">
        <w:rPr>
          <w:rFonts w:cstheme="minorHAnsi"/>
          <w:b/>
          <w:bCs/>
          <w:sz w:val="28"/>
          <w:szCs w:val="28"/>
        </w:rPr>
        <w:t>US$</w:t>
      </w:r>
      <w:r w:rsidR="009350C0">
        <w:rPr>
          <w:rFonts w:cstheme="minorHAnsi"/>
          <w:b/>
          <w:bCs/>
          <w:sz w:val="28"/>
          <w:szCs w:val="28"/>
        </w:rPr>
        <w:t>400</w:t>
      </w:r>
      <w:r w:rsidR="004901B7">
        <w:rPr>
          <w:rFonts w:cstheme="minorHAnsi"/>
          <w:b/>
          <w:bCs/>
          <w:sz w:val="28"/>
          <w:szCs w:val="28"/>
        </w:rPr>
        <w:t xml:space="preserve"> </w:t>
      </w:r>
      <w:r w:rsidR="00D55B2D">
        <w:rPr>
          <w:rFonts w:cstheme="minorHAnsi"/>
          <w:b/>
          <w:bCs/>
          <w:sz w:val="28"/>
          <w:szCs w:val="28"/>
        </w:rPr>
        <w:t>Million</w:t>
      </w:r>
      <w:bookmarkStart w:id="0" w:name="_GoBack"/>
      <w:bookmarkEnd w:id="0"/>
    </w:p>
    <w:p w14:paraId="368FF8D7" w14:textId="77777777" w:rsidR="00243D92" w:rsidRPr="00243D92" w:rsidRDefault="00243D92" w:rsidP="00C00479">
      <w:pPr>
        <w:spacing w:after="0"/>
      </w:pPr>
    </w:p>
    <w:p w14:paraId="4C4A260C" w14:textId="77777777" w:rsidR="009A01C1" w:rsidRPr="00D55B2D" w:rsidRDefault="00503353" w:rsidP="004901B7">
      <w:pPr>
        <w:spacing w:after="0" w:line="276" w:lineRule="auto"/>
        <w:jc w:val="both"/>
        <w:rPr>
          <w:rFonts w:cstheme="minorHAnsi"/>
        </w:rPr>
      </w:pPr>
      <w:r w:rsidRPr="00D55B2D">
        <w:rPr>
          <w:rFonts w:eastAsia="Times New Roman" w:cstheme="minorHAnsi"/>
          <w:b/>
          <w:bCs/>
          <w:lang w:eastAsia="en-GB"/>
        </w:rPr>
        <w:t>Manama -</w:t>
      </w:r>
      <w:r w:rsidR="00243D92" w:rsidRPr="00D55B2D">
        <w:rPr>
          <w:rFonts w:eastAsia="Times New Roman" w:cstheme="minorHAnsi"/>
          <w:b/>
          <w:bCs/>
          <w:lang w:eastAsia="en-GB"/>
        </w:rPr>
        <w:t>11 October</w:t>
      </w:r>
      <w:r w:rsidRPr="00D55B2D">
        <w:rPr>
          <w:rFonts w:eastAsia="Times New Roman" w:cstheme="minorHAnsi"/>
          <w:b/>
          <w:bCs/>
          <w:lang w:eastAsia="en-GB"/>
        </w:rPr>
        <w:t xml:space="preserve"> 2022:</w:t>
      </w:r>
      <w:r w:rsidRPr="00D55B2D">
        <w:rPr>
          <w:rFonts w:eastAsia="Times New Roman" w:cstheme="minorHAnsi"/>
          <w:lang w:eastAsia="en-GB"/>
        </w:rPr>
        <w:t xml:space="preserve"> GFH Financial Group ("GFH or the Group") today announced </w:t>
      </w:r>
      <w:r w:rsidR="009350C0">
        <w:rPr>
          <w:rFonts w:eastAsia="Times New Roman" w:cstheme="minorHAnsi"/>
          <w:lang w:eastAsia="en-GB"/>
        </w:rPr>
        <w:t xml:space="preserve">increasing its exposure </w:t>
      </w:r>
      <w:r w:rsidR="008633A0">
        <w:rPr>
          <w:rFonts w:eastAsia="Times New Roman" w:cstheme="minorHAnsi"/>
          <w:lang w:eastAsia="en-GB"/>
        </w:rPr>
        <w:t>to</w:t>
      </w:r>
      <w:r w:rsidR="009350C0">
        <w:rPr>
          <w:rFonts w:eastAsia="Times New Roman" w:cstheme="minorHAnsi"/>
          <w:lang w:eastAsia="en-GB"/>
        </w:rPr>
        <w:t xml:space="preserve"> the </w:t>
      </w:r>
      <w:r w:rsidR="008633A0">
        <w:rPr>
          <w:rFonts w:eastAsia="Times New Roman" w:cstheme="minorHAnsi"/>
          <w:lang w:eastAsia="en-GB"/>
        </w:rPr>
        <w:t xml:space="preserve">medical office/clinics sector </w:t>
      </w:r>
      <w:r w:rsidR="004901B7">
        <w:rPr>
          <w:rFonts w:eastAsia="Times New Roman" w:cstheme="minorHAnsi"/>
          <w:lang w:eastAsia="en-GB"/>
        </w:rPr>
        <w:t xml:space="preserve">through </w:t>
      </w:r>
      <w:r w:rsidR="004901B7" w:rsidRPr="00D55B2D">
        <w:rPr>
          <w:rFonts w:eastAsia="Times New Roman" w:cstheme="minorHAnsi"/>
          <w:lang w:eastAsia="en-GB"/>
        </w:rPr>
        <w:t>a</w:t>
      </w:r>
      <w:r w:rsidR="008633A0" w:rsidRPr="00D55B2D">
        <w:rPr>
          <w:rFonts w:eastAsia="Times New Roman" w:cstheme="minorHAnsi"/>
          <w:lang w:eastAsia="en-GB"/>
        </w:rPr>
        <w:t xml:space="preserve"> </w:t>
      </w:r>
      <w:r w:rsidR="00C00479" w:rsidRPr="00D55B2D">
        <w:rPr>
          <w:rFonts w:eastAsia="Times New Roman" w:cstheme="minorHAnsi"/>
          <w:lang w:eastAsia="en-GB"/>
        </w:rPr>
        <w:t xml:space="preserve">second </w:t>
      </w:r>
      <w:r w:rsidR="00C00479" w:rsidRPr="00D55B2D">
        <w:rPr>
          <w:rFonts w:cstheme="minorHAnsi"/>
        </w:rPr>
        <w:t>US Medical Clinics Portfolio</w:t>
      </w:r>
      <w:r w:rsidR="009A01C1" w:rsidRPr="00D55B2D">
        <w:rPr>
          <w:rFonts w:eastAsia="Times New Roman" w:cstheme="minorHAnsi"/>
          <w:lang w:eastAsia="en-GB"/>
        </w:rPr>
        <w:t xml:space="preserve"> </w:t>
      </w:r>
      <w:r w:rsidR="00C00479" w:rsidRPr="00D55B2D">
        <w:rPr>
          <w:rFonts w:cstheme="minorHAnsi"/>
        </w:rPr>
        <w:t xml:space="preserve">in a transaction valued at </w:t>
      </w:r>
      <w:r w:rsidR="00E354EA">
        <w:rPr>
          <w:rFonts w:cstheme="minorHAnsi"/>
        </w:rPr>
        <w:t xml:space="preserve">c. </w:t>
      </w:r>
      <w:r w:rsidR="00C00479" w:rsidRPr="004901B7">
        <w:rPr>
          <w:rFonts w:cstheme="minorHAnsi"/>
        </w:rPr>
        <w:t>US</w:t>
      </w:r>
      <w:r w:rsidR="009A01C1" w:rsidRPr="004901B7">
        <w:rPr>
          <w:rFonts w:cstheme="minorHAnsi"/>
        </w:rPr>
        <w:t>$</w:t>
      </w:r>
      <w:r w:rsidR="008633A0" w:rsidRPr="004901B7">
        <w:rPr>
          <w:rFonts w:cstheme="minorHAnsi"/>
        </w:rPr>
        <w:t>400</w:t>
      </w:r>
      <w:r w:rsidR="008633A0" w:rsidRPr="00D55B2D">
        <w:rPr>
          <w:rFonts w:cstheme="minorHAnsi"/>
        </w:rPr>
        <w:t xml:space="preserve"> </w:t>
      </w:r>
      <w:r w:rsidR="009A01C1" w:rsidRPr="00D55B2D">
        <w:rPr>
          <w:rFonts w:cstheme="minorHAnsi"/>
        </w:rPr>
        <w:t xml:space="preserve">million. The </w:t>
      </w:r>
      <w:r w:rsidR="00C00479" w:rsidRPr="00D55B2D">
        <w:rPr>
          <w:rFonts w:cstheme="minorHAnsi"/>
        </w:rPr>
        <w:t xml:space="preserve">income-yielding portfolio </w:t>
      </w:r>
      <w:r w:rsidR="009A01C1" w:rsidRPr="00D55B2D">
        <w:rPr>
          <w:rFonts w:cstheme="minorHAnsi"/>
        </w:rPr>
        <w:t xml:space="preserve">is </w:t>
      </w:r>
      <w:r w:rsidR="00C00479" w:rsidRPr="00D55B2D">
        <w:rPr>
          <w:rFonts w:cstheme="minorHAnsi"/>
        </w:rPr>
        <w:t>comprised of 11 geographically diversified assets spread across four US states</w:t>
      </w:r>
      <w:r w:rsidR="00960179" w:rsidRPr="00D55B2D">
        <w:rPr>
          <w:rFonts w:cstheme="minorHAnsi"/>
        </w:rPr>
        <w:t xml:space="preserve"> -</w:t>
      </w:r>
      <w:r w:rsidR="00F621AE" w:rsidRPr="00D55B2D">
        <w:rPr>
          <w:rFonts w:cstheme="minorHAnsi"/>
        </w:rPr>
        <w:t xml:space="preserve"> California, Texas, Maryland and Louisiana. </w:t>
      </w:r>
    </w:p>
    <w:p w14:paraId="53A2814F" w14:textId="77777777" w:rsidR="00D55B2D" w:rsidRPr="00D55B2D" w:rsidRDefault="00D55B2D" w:rsidP="008633A0">
      <w:pPr>
        <w:spacing w:after="0" w:line="276" w:lineRule="auto"/>
        <w:jc w:val="both"/>
        <w:rPr>
          <w:rFonts w:cstheme="minorHAnsi"/>
        </w:rPr>
      </w:pPr>
    </w:p>
    <w:p w14:paraId="1C47A392" w14:textId="77777777" w:rsidR="00D55B2D" w:rsidRPr="00D55B2D" w:rsidRDefault="008633A0" w:rsidP="008633A0">
      <w:pPr>
        <w:spacing w:after="0" w:line="276" w:lineRule="auto"/>
        <w:jc w:val="both"/>
        <w:rPr>
          <w:rFonts w:cstheme="minorHAnsi"/>
          <w:lang w:val="en-US"/>
        </w:rPr>
      </w:pPr>
      <w:r>
        <w:t xml:space="preserve">Covering an area exceeding 1 million </w:t>
      </w:r>
      <w:r w:rsidR="00E354EA">
        <w:t>square</w:t>
      </w:r>
      <w:r>
        <w:t xml:space="preserve"> feet, t</w:t>
      </w:r>
      <w:r w:rsidR="00D55B2D" w:rsidRPr="00D55B2D">
        <w:t>he Portfolio is anchored by investment-grade credit tenancy through Baylor Scott &amp; White (Moody’s Aa3), Texas A&amp;M Health Science Center (Fitch</w:t>
      </w:r>
      <w:r w:rsidR="000B7B6B">
        <w:t>: AAA), Texas Tech University (</w:t>
      </w:r>
      <w:r w:rsidR="00D55B2D" w:rsidRPr="00D55B2D">
        <w:t>Fitch AA+), Memorial Hermann (S&amp;P: A+) and Tidal Health (Moody’s:Aa3)</w:t>
      </w:r>
      <w:r w:rsidR="00D55B2D" w:rsidRPr="00D55B2D">
        <w:rPr>
          <w:rFonts w:cstheme="minorHAnsi"/>
        </w:rPr>
        <w:t>. T</w:t>
      </w:r>
      <w:r w:rsidR="00F621AE" w:rsidRPr="00D55B2D">
        <w:rPr>
          <w:rFonts w:cstheme="minorHAnsi"/>
        </w:rPr>
        <w:t>he assets also offer</w:t>
      </w:r>
      <w:r w:rsidR="00C00479" w:rsidRPr="00D55B2D">
        <w:rPr>
          <w:rFonts w:cstheme="minorHAnsi"/>
          <w:lang w:val="en-US"/>
        </w:rPr>
        <w:t xml:space="preserve"> unique specializations within their respective submarkets, positioning them for high occupancy and rent growth</w:t>
      </w:r>
      <w:r w:rsidR="009A01C1" w:rsidRPr="00D55B2D">
        <w:rPr>
          <w:rFonts w:cstheme="minorHAnsi"/>
          <w:lang w:val="en-US"/>
        </w:rPr>
        <w:t xml:space="preserve">. </w:t>
      </w:r>
    </w:p>
    <w:p w14:paraId="035AD2C9" w14:textId="77777777" w:rsidR="00D55B2D" w:rsidRPr="00D55B2D" w:rsidRDefault="00D55B2D" w:rsidP="00D55B2D">
      <w:pPr>
        <w:spacing w:after="0" w:line="276" w:lineRule="auto"/>
        <w:jc w:val="both"/>
        <w:rPr>
          <w:rFonts w:cstheme="minorHAnsi"/>
          <w:lang w:val="en-US"/>
        </w:rPr>
      </w:pPr>
    </w:p>
    <w:p w14:paraId="4E552C14" w14:textId="77777777" w:rsidR="00960179" w:rsidRPr="00D55B2D" w:rsidRDefault="00D55B2D" w:rsidP="00AA018F">
      <w:pPr>
        <w:spacing w:after="0" w:line="276" w:lineRule="auto"/>
        <w:jc w:val="both"/>
        <w:rPr>
          <w:rFonts w:cstheme="minorHAnsi"/>
        </w:rPr>
      </w:pPr>
      <w:r w:rsidRPr="00D55B2D">
        <w:rPr>
          <w:rFonts w:cstheme="minorHAnsi"/>
          <w:lang w:val="en-US"/>
        </w:rPr>
        <w:t>Supporting the investment, t</w:t>
      </w:r>
      <w:r w:rsidR="009A01C1" w:rsidRPr="00D55B2D">
        <w:rPr>
          <w:rFonts w:cstheme="minorHAnsi"/>
          <w:lang w:val="en-US"/>
        </w:rPr>
        <w:t xml:space="preserve">he medical clinics sector </w:t>
      </w:r>
      <w:r w:rsidR="00F621AE" w:rsidRPr="00D55B2D">
        <w:rPr>
          <w:rFonts w:cstheme="minorHAnsi"/>
          <w:lang w:val="en-US"/>
        </w:rPr>
        <w:t xml:space="preserve">has </w:t>
      </w:r>
      <w:r w:rsidR="00960179" w:rsidRPr="00D55B2D">
        <w:rPr>
          <w:rFonts w:cstheme="minorHAnsi"/>
          <w:lang w:val="en-US"/>
        </w:rPr>
        <w:t xml:space="preserve">been </w:t>
      </w:r>
      <w:r w:rsidR="00F621AE" w:rsidRPr="00D55B2D">
        <w:rPr>
          <w:rFonts w:cstheme="minorHAnsi"/>
          <w:lang w:val="en-US"/>
        </w:rPr>
        <w:t xml:space="preserve">strong performing and proven </w:t>
      </w:r>
      <w:r w:rsidR="00960179" w:rsidRPr="00D55B2D">
        <w:rPr>
          <w:rFonts w:cstheme="minorHAnsi"/>
          <w:lang w:val="en-US"/>
        </w:rPr>
        <w:t xml:space="preserve">to be </w:t>
      </w:r>
      <w:r w:rsidR="00F621AE" w:rsidRPr="00D55B2D">
        <w:rPr>
          <w:rFonts w:cstheme="minorHAnsi"/>
          <w:lang w:val="en-US"/>
        </w:rPr>
        <w:t>high</w:t>
      </w:r>
      <w:r w:rsidR="00960179" w:rsidRPr="00D55B2D">
        <w:rPr>
          <w:rFonts w:cstheme="minorHAnsi"/>
          <w:lang w:val="en-US"/>
        </w:rPr>
        <w:t>ly</w:t>
      </w:r>
      <w:r w:rsidR="00F621AE" w:rsidRPr="00D55B2D">
        <w:rPr>
          <w:rFonts w:cstheme="minorHAnsi"/>
          <w:lang w:val="en-US"/>
        </w:rPr>
        <w:t xml:space="preserve"> resilient to </w:t>
      </w:r>
      <w:r w:rsidR="00C00479" w:rsidRPr="00D55B2D">
        <w:rPr>
          <w:rFonts w:cstheme="minorHAnsi"/>
          <w:lang w:val="en-US"/>
        </w:rPr>
        <w:t xml:space="preserve">economic downturns, with 99% rent collection during </w:t>
      </w:r>
      <w:r w:rsidR="00960179" w:rsidRPr="00D55B2D">
        <w:rPr>
          <w:rFonts w:cstheme="minorHAnsi"/>
          <w:lang w:val="en-US"/>
        </w:rPr>
        <w:t xml:space="preserve">the </w:t>
      </w:r>
      <w:r w:rsidR="00C00479" w:rsidRPr="00D55B2D">
        <w:rPr>
          <w:rFonts w:cstheme="minorHAnsi"/>
          <w:lang w:val="en-US"/>
        </w:rPr>
        <w:t>COVID-19 pandemic</w:t>
      </w:r>
      <w:r w:rsidR="00E354EA" w:rsidRPr="00D55B2D">
        <w:rPr>
          <w:rFonts w:cstheme="minorHAnsi"/>
          <w:lang w:val="en-US"/>
        </w:rPr>
        <w:t>.</w:t>
      </w:r>
      <w:r w:rsidR="00E354EA">
        <w:rPr>
          <w:rFonts w:cstheme="minorHAnsi"/>
          <w:lang w:val="en-US"/>
        </w:rPr>
        <w:t xml:space="preserve"> Furthermore, the medical clinics </w:t>
      </w:r>
      <w:r w:rsidR="00AA018F">
        <w:rPr>
          <w:rFonts w:cstheme="minorHAnsi"/>
          <w:lang w:val="en-US"/>
        </w:rPr>
        <w:t>occupancy reflected the strong demand for the sector</w:t>
      </w:r>
      <w:r w:rsidR="00E354EA">
        <w:rPr>
          <w:rFonts w:cstheme="minorHAnsi"/>
          <w:lang w:val="en-US"/>
        </w:rPr>
        <w:t xml:space="preserve"> in the first half of 2022 according to Colliers reaffirming </w:t>
      </w:r>
      <w:r w:rsidR="00AA018F">
        <w:rPr>
          <w:rFonts w:cstheme="minorHAnsi"/>
          <w:lang w:val="en-US"/>
        </w:rPr>
        <w:t>it</w:t>
      </w:r>
      <w:r w:rsidR="00E354EA">
        <w:rPr>
          <w:rFonts w:cstheme="minorHAnsi"/>
          <w:lang w:val="en-US"/>
        </w:rPr>
        <w:t xml:space="preserve"> resiliency. </w:t>
      </w:r>
      <w:r w:rsidR="00F621AE" w:rsidRPr="00D55B2D">
        <w:rPr>
          <w:rFonts w:cstheme="minorHAnsi"/>
          <w:lang w:val="en-US"/>
        </w:rPr>
        <w:t>The se</w:t>
      </w:r>
      <w:r w:rsidR="00960179" w:rsidRPr="00D55B2D">
        <w:rPr>
          <w:rFonts w:cstheme="minorHAnsi"/>
          <w:lang w:val="en-US"/>
        </w:rPr>
        <w:t>ctor</w:t>
      </w:r>
      <w:r w:rsidR="00F621AE" w:rsidRPr="00D55B2D">
        <w:rPr>
          <w:rFonts w:cstheme="minorHAnsi"/>
          <w:lang w:val="en-US"/>
        </w:rPr>
        <w:t xml:space="preserve"> also co</w:t>
      </w:r>
      <w:r w:rsidR="00960179" w:rsidRPr="00D55B2D">
        <w:rPr>
          <w:rFonts w:cstheme="minorHAnsi"/>
          <w:lang w:val="en-US"/>
        </w:rPr>
        <w:t>ntinues</w:t>
      </w:r>
      <w:r w:rsidR="00F621AE" w:rsidRPr="00D55B2D">
        <w:rPr>
          <w:rFonts w:cstheme="minorHAnsi"/>
          <w:lang w:val="en-US"/>
        </w:rPr>
        <w:t xml:space="preserve"> to benefit from</w:t>
      </w:r>
      <w:r w:rsidR="007001D2">
        <w:rPr>
          <w:rFonts w:cstheme="minorHAnsi"/>
          <w:lang w:val="en-US"/>
        </w:rPr>
        <w:t xml:space="preserve"> population growth and </w:t>
      </w:r>
      <w:r w:rsidR="00AA018F">
        <w:rPr>
          <w:rFonts w:cstheme="minorHAnsi"/>
          <w:lang w:val="en-US"/>
        </w:rPr>
        <w:t xml:space="preserve">the </w:t>
      </w:r>
      <w:r w:rsidR="007001D2">
        <w:rPr>
          <w:rFonts w:cstheme="minorHAnsi"/>
          <w:lang w:val="en-US"/>
        </w:rPr>
        <w:t>aging of the US population accompanied by</w:t>
      </w:r>
      <w:r w:rsidR="00F621AE" w:rsidRPr="00D55B2D">
        <w:rPr>
          <w:rFonts w:cstheme="minorHAnsi"/>
          <w:lang w:val="en-US"/>
        </w:rPr>
        <w:t xml:space="preserve"> a </w:t>
      </w:r>
      <w:r w:rsidR="00F621AE" w:rsidRPr="00D55B2D">
        <w:rPr>
          <w:rFonts w:cstheme="minorHAnsi"/>
        </w:rPr>
        <w:t>s</w:t>
      </w:r>
      <w:r w:rsidR="00C00479" w:rsidRPr="00D55B2D">
        <w:rPr>
          <w:rFonts w:cstheme="minorHAnsi"/>
        </w:rPr>
        <w:t>teady increase in healthcare expenditure, which accounted for 19% of the US GDP in 202</w:t>
      </w:r>
      <w:r w:rsidR="00960179" w:rsidRPr="00D55B2D">
        <w:rPr>
          <w:rFonts w:cstheme="minorHAnsi"/>
        </w:rPr>
        <w:t>1</w:t>
      </w:r>
      <w:r w:rsidR="00AA018F">
        <w:rPr>
          <w:rFonts w:cstheme="minorHAnsi"/>
        </w:rPr>
        <w:t xml:space="preserve"> as well as the continued increase in demand for outpatient services that are provided in the medical clinic sector</w:t>
      </w:r>
      <w:r w:rsidR="00960179" w:rsidRPr="00D55B2D">
        <w:rPr>
          <w:rFonts w:cstheme="minorHAnsi"/>
        </w:rPr>
        <w:t>.</w:t>
      </w:r>
      <w:r w:rsidR="00E354EA">
        <w:rPr>
          <w:rFonts w:cstheme="minorHAnsi"/>
        </w:rPr>
        <w:t xml:space="preserve"> </w:t>
      </w:r>
      <w:r w:rsidR="00AA018F">
        <w:rPr>
          <w:rFonts w:cstheme="minorHAnsi"/>
        </w:rPr>
        <w:t xml:space="preserve"> </w:t>
      </w:r>
    </w:p>
    <w:p w14:paraId="3488EAE9" w14:textId="77777777" w:rsidR="00960179" w:rsidRPr="00D55B2D" w:rsidRDefault="00960179" w:rsidP="00960179">
      <w:pPr>
        <w:tabs>
          <w:tab w:val="left" w:pos="180"/>
        </w:tabs>
        <w:spacing w:after="0" w:line="276" w:lineRule="auto"/>
        <w:jc w:val="both"/>
        <w:rPr>
          <w:rFonts w:cstheme="minorHAnsi"/>
        </w:rPr>
      </w:pPr>
    </w:p>
    <w:p w14:paraId="03A8B8DA" w14:textId="6005B656" w:rsidR="00960179" w:rsidRPr="00D55B2D" w:rsidRDefault="00960179" w:rsidP="00C73CCB">
      <w:pPr>
        <w:tabs>
          <w:tab w:val="left" w:pos="180"/>
        </w:tabs>
        <w:spacing w:after="0" w:line="276" w:lineRule="auto"/>
        <w:jc w:val="both"/>
        <w:rPr>
          <w:rFonts w:cstheme="minorHAnsi"/>
        </w:rPr>
      </w:pPr>
      <w:r w:rsidRPr="00D55B2D">
        <w:rPr>
          <w:rFonts w:cstheme="minorHAnsi"/>
        </w:rPr>
        <w:t>The investment</w:t>
      </w:r>
      <w:r w:rsidR="008633A0">
        <w:rPr>
          <w:rFonts w:cstheme="minorHAnsi"/>
        </w:rPr>
        <w:t xml:space="preserve"> capitalizes on the</w:t>
      </w:r>
      <w:r w:rsidRPr="00D55B2D">
        <w:rPr>
          <w:rFonts w:cstheme="minorHAnsi"/>
        </w:rPr>
        <w:t xml:space="preserve"> joint venture partnership with Big Sky Medical</w:t>
      </w:r>
      <w:r w:rsidR="00D67FF7">
        <w:rPr>
          <w:rFonts w:cstheme="minorHAnsi"/>
        </w:rPr>
        <w:t xml:space="preserve"> (Big Sky)</w:t>
      </w:r>
      <w:r w:rsidRPr="00D55B2D">
        <w:rPr>
          <w:rFonts w:cstheme="minorHAnsi"/>
        </w:rPr>
        <w:t>, a highly reputed and experienced asset manage</w:t>
      </w:r>
      <w:r w:rsidR="00D67FF7">
        <w:rPr>
          <w:rFonts w:cstheme="minorHAnsi"/>
        </w:rPr>
        <w:t>ment platform</w:t>
      </w:r>
      <w:r w:rsidRPr="00D55B2D">
        <w:rPr>
          <w:rFonts w:cstheme="minorHAnsi"/>
        </w:rPr>
        <w:t xml:space="preserve"> </w:t>
      </w:r>
      <w:r w:rsidR="009A4729">
        <w:rPr>
          <w:rFonts w:cstheme="minorHAnsi"/>
        </w:rPr>
        <w:t xml:space="preserve">focusing on medical assets </w:t>
      </w:r>
      <w:r w:rsidRPr="00D55B2D">
        <w:rPr>
          <w:rFonts w:cstheme="minorHAnsi"/>
        </w:rPr>
        <w:t xml:space="preserve">with </w:t>
      </w:r>
      <w:r w:rsidR="009A4729">
        <w:rPr>
          <w:rFonts w:cstheme="minorHAnsi"/>
        </w:rPr>
        <w:t xml:space="preserve">a proven track record of acquiring and managing healthcare properties. The principals of Big Sky Medical have invested in nearly 6m square feet </w:t>
      </w:r>
      <w:r w:rsidR="00D84393">
        <w:rPr>
          <w:rFonts w:cstheme="minorHAnsi"/>
        </w:rPr>
        <w:t xml:space="preserve">comprising approximately 100 medical assets across 19 states </w:t>
      </w:r>
      <w:r w:rsidR="009A4729">
        <w:rPr>
          <w:rFonts w:cstheme="minorHAnsi"/>
        </w:rPr>
        <w:t xml:space="preserve">with </w:t>
      </w:r>
      <w:r w:rsidR="009A4729" w:rsidRPr="00D55B2D">
        <w:rPr>
          <w:rFonts w:cstheme="minorHAnsi"/>
        </w:rPr>
        <w:t>an overall current portfolio value of US$ 2 billion.</w:t>
      </w:r>
      <w:r w:rsidR="009A4729">
        <w:rPr>
          <w:rFonts w:cstheme="minorHAnsi"/>
        </w:rPr>
        <w:t xml:space="preserve"> </w:t>
      </w:r>
      <w:r w:rsidR="009A4729" w:rsidRPr="009A4729">
        <w:rPr>
          <w:rFonts w:cstheme="minorHAnsi"/>
        </w:rPr>
        <w:t xml:space="preserve">GFH aligns </w:t>
      </w:r>
      <w:r w:rsidR="009A4729">
        <w:rPr>
          <w:rFonts w:cstheme="minorHAnsi"/>
        </w:rPr>
        <w:t>interests with Big Sky medical as both</w:t>
      </w:r>
      <w:r w:rsidR="009A4729" w:rsidRPr="009A4729">
        <w:rPr>
          <w:rFonts w:cstheme="minorHAnsi"/>
        </w:rPr>
        <w:t xml:space="preserve"> share the same focus of investing in </w:t>
      </w:r>
      <w:r w:rsidR="009A4729">
        <w:rPr>
          <w:rFonts w:cstheme="minorHAnsi"/>
        </w:rPr>
        <w:t xml:space="preserve">and aggregating assets in the </w:t>
      </w:r>
      <w:r w:rsidR="009A4729" w:rsidRPr="009A4729">
        <w:rPr>
          <w:rFonts w:cstheme="minorHAnsi"/>
        </w:rPr>
        <w:t xml:space="preserve">high-demand and downturn-resistant </w:t>
      </w:r>
      <w:r w:rsidR="009A4729">
        <w:rPr>
          <w:rFonts w:cstheme="minorHAnsi"/>
        </w:rPr>
        <w:t xml:space="preserve">medical </w:t>
      </w:r>
      <w:r w:rsidR="009A4729" w:rsidRPr="009A4729">
        <w:rPr>
          <w:rFonts w:cstheme="minorHAnsi"/>
        </w:rPr>
        <w:t xml:space="preserve">sector. </w:t>
      </w:r>
      <w:r w:rsidR="00C73CCB">
        <w:rPr>
          <w:rFonts w:cstheme="minorHAnsi"/>
        </w:rPr>
        <w:t>GFH’s</w:t>
      </w:r>
      <w:r w:rsidR="00C73CCB" w:rsidRPr="009A4729">
        <w:rPr>
          <w:rFonts w:cstheme="minorHAnsi"/>
        </w:rPr>
        <w:t xml:space="preserve"> </w:t>
      </w:r>
      <w:r w:rsidR="009A4729" w:rsidRPr="009A4729">
        <w:rPr>
          <w:rFonts w:cstheme="minorHAnsi"/>
        </w:rPr>
        <w:t xml:space="preserve">partnership with Big Sky has already resulted in </w:t>
      </w:r>
      <w:r w:rsidR="00AA018F">
        <w:rPr>
          <w:rFonts w:cstheme="minorHAnsi"/>
        </w:rPr>
        <w:t>a</w:t>
      </w:r>
      <w:r w:rsidR="009A4729" w:rsidRPr="009A4729">
        <w:rPr>
          <w:rFonts w:cstheme="minorHAnsi"/>
        </w:rPr>
        <w:t xml:space="preserve"> number of acquisitions totalling approximately $500mn in the past six months alone</w:t>
      </w:r>
      <w:r w:rsidR="00EE483A">
        <w:rPr>
          <w:rFonts w:cstheme="minorHAnsi"/>
        </w:rPr>
        <w:t>.</w:t>
      </w:r>
      <w:r w:rsidR="009A4729">
        <w:rPr>
          <w:rFonts w:cstheme="minorHAnsi"/>
        </w:rPr>
        <w:t xml:space="preserve"> </w:t>
      </w:r>
      <w:r w:rsidR="00EE483A">
        <w:rPr>
          <w:rFonts w:cstheme="minorHAnsi"/>
        </w:rPr>
        <w:t xml:space="preserve">This transaction is the third in a series of joint acquisitions.  </w:t>
      </w:r>
    </w:p>
    <w:p w14:paraId="7AC82C41" w14:textId="77777777" w:rsidR="004901B7" w:rsidRDefault="004901B7" w:rsidP="00DA7576">
      <w:pPr>
        <w:tabs>
          <w:tab w:val="left" w:pos="180"/>
        </w:tabs>
        <w:spacing w:after="0" w:line="276" w:lineRule="auto"/>
        <w:jc w:val="both"/>
        <w:rPr>
          <w:rFonts w:cstheme="minorHAnsi"/>
        </w:rPr>
      </w:pPr>
    </w:p>
    <w:p w14:paraId="6C56A821" w14:textId="4EC00AB2" w:rsidR="00D55B2D" w:rsidRPr="00D55B2D" w:rsidRDefault="00960179" w:rsidP="00C73CCB">
      <w:pPr>
        <w:tabs>
          <w:tab w:val="left" w:pos="180"/>
        </w:tabs>
        <w:spacing w:after="0" w:line="276" w:lineRule="auto"/>
        <w:jc w:val="both"/>
      </w:pPr>
      <w:r w:rsidRPr="00D55B2D">
        <w:rPr>
          <w:rFonts w:cstheme="minorHAnsi"/>
        </w:rPr>
        <w:t>Commenting</w:t>
      </w:r>
      <w:r w:rsidRPr="00C73CCB">
        <w:rPr>
          <w:rFonts w:cstheme="minorHAnsi"/>
        </w:rPr>
        <w:t xml:space="preserve">, </w:t>
      </w:r>
      <w:r w:rsidR="00C73CCB" w:rsidRPr="00C73CCB">
        <w:rPr>
          <w:rFonts w:cstheme="minorHAnsi"/>
          <w:color w:val="000000"/>
          <w:shd w:val="clear" w:color="auto" w:fill="FFFFFF"/>
        </w:rPr>
        <w:t>Mr. Nael Mustafa, Co-Chief Investment Officer – Real Estate at GFH</w:t>
      </w:r>
      <w:r w:rsidR="00C73CCB" w:rsidRPr="00C73CCB">
        <w:rPr>
          <w:rFonts w:cstheme="minorHAnsi"/>
          <w:color w:val="000000"/>
          <w:shd w:val="clear" w:color="auto" w:fill="FFFFFF"/>
        </w:rPr>
        <w:t xml:space="preserve"> </w:t>
      </w:r>
      <w:r w:rsidRPr="00C73CCB">
        <w:rPr>
          <w:rFonts w:cstheme="minorHAnsi"/>
        </w:rPr>
        <w:t>said</w:t>
      </w:r>
      <w:r w:rsidRPr="00D55B2D">
        <w:rPr>
          <w:rFonts w:cstheme="minorHAnsi"/>
        </w:rPr>
        <w:t>, “</w:t>
      </w:r>
      <w:r w:rsidR="004E53C7" w:rsidRPr="00D55B2D">
        <w:rPr>
          <w:rFonts w:cstheme="minorHAnsi"/>
        </w:rPr>
        <w:t xml:space="preserve">We are pleased to announce the acquisition of this prime, income-yielding medical clinic portfolio as part of GFH’s ongoing expansion in the medical office building sector in </w:t>
      </w:r>
      <w:r w:rsidR="00243D92" w:rsidRPr="00D55B2D">
        <w:rPr>
          <w:rFonts w:eastAsia="Times New Roman" w:cstheme="minorHAnsi"/>
          <w:lang w:eastAsia="en-GB"/>
        </w:rPr>
        <w:t xml:space="preserve">fast-growing cities across the US. </w:t>
      </w:r>
      <w:r w:rsidR="004E53C7" w:rsidRPr="00D55B2D">
        <w:rPr>
          <w:rFonts w:eastAsia="Times New Roman" w:cstheme="minorHAnsi"/>
          <w:lang w:eastAsia="en-GB"/>
        </w:rPr>
        <w:t xml:space="preserve">We </w:t>
      </w:r>
      <w:r w:rsidR="004E53C7" w:rsidRPr="00D55B2D">
        <w:t xml:space="preserve">believe strongly in the long-term fundamentals in the healthcare sector and </w:t>
      </w:r>
      <w:r w:rsidR="00DA7576" w:rsidRPr="00D55B2D">
        <w:t xml:space="preserve">the </w:t>
      </w:r>
      <w:r w:rsidR="004E53C7" w:rsidRPr="00D55B2D">
        <w:t xml:space="preserve">dynamics that </w:t>
      </w:r>
      <w:r w:rsidR="00D55B2D" w:rsidRPr="00D55B2D">
        <w:t xml:space="preserve">are supporting </w:t>
      </w:r>
      <w:r w:rsidR="004E53C7" w:rsidRPr="00D55B2D">
        <w:t>an increase in demand for high-quality medical office space</w:t>
      </w:r>
      <w:r w:rsidR="00D55B2D" w:rsidRPr="00D55B2D">
        <w:t>. This</w:t>
      </w:r>
      <w:r w:rsidR="00DA7576" w:rsidRPr="00D55B2D">
        <w:t xml:space="preserve"> </w:t>
      </w:r>
      <w:r w:rsidR="004E53C7" w:rsidRPr="00D55B2D">
        <w:t>includ</w:t>
      </w:r>
      <w:r w:rsidR="00D55B2D" w:rsidRPr="00D55B2D">
        <w:t>es</w:t>
      </w:r>
      <w:r w:rsidR="004E53C7" w:rsidRPr="00D55B2D">
        <w:t xml:space="preserve"> aging populations and growth in out-patient care</w:t>
      </w:r>
      <w:r w:rsidR="00D55B2D" w:rsidRPr="00D55B2D">
        <w:t xml:space="preserve"> which continues to make the </w:t>
      </w:r>
      <w:r w:rsidR="00DA7576" w:rsidRPr="00D55B2D">
        <w:t xml:space="preserve">sector highly </w:t>
      </w:r>
      <w:r w:rsidR="004E53C7" w:rsidRPr="00D55B2D">
        <w:t>recession</w:t>
      </w:r>
      <w:r w:rsidR="00DA7576" w:rsidRPr="00D55B2D">
        <w:t>-</w:t>
      </w:r>
      <w:r w:rsidR="004E53C7" w:rsidRPr="00D55B2D">
        <w:t>resilient</w:t>
      </w:r>
      <w:r w:rsidR="00DA7576" w:rsidRPr="00D55B2D">
        <w:t xml:space="preserve"> </w:t>
      </w:r>
      <w:r w:rsidR="00D55B2D">
        <w:t xml:space="preserve">and </w:t>
      </w:r>
      <w:r w:rsidR="004E53C7" w:rsidRPr="00D55B2D">
        <w:t>unimpacted by economic cycles</w:t>
      </w:r>
      <w:r w:rsidR="00DA7576" w:rsidRPr="00D55B2D">
        <w:t>.</w:t>
      </w:r>
      <w:r w:rsidR="00D55B2D" w:rsidRPr="00D55B2D">
        <w:t xml:space="preserve"> We look forward to working with our partner Big Sky Medical to maximise the value of these assets.”</w:t>
      </w:r>
    </w:p>
    <w:p w14:paraId="537CF731" w14:textId="77777777" w:rsidR="00D55B2D" w:rsidRPr="00D55B2D" w:rsidRDefault="00D55B2D" w:rsidP="00DA7576">
      <w:pPr>
        <w:tabs>
          <w:tab w:val="left" w:pos="180"/>
        </w:tabs>
        <w:spacing w:after="0" w:line="276" w:lineRule="auto"/>
        <w:jc w:val="both"/>
      </w:pPr>
    </w:p>
    <w:p w14:paraId="7C2400B8" w14:textId="77777777" w:rsidR="00D55B2D" w:rsidRPr="00D55B2D" w:rsidRDefault="00D55B2D" w:rsidP="00E354EA">
      <w:pPr>
        <w:tabs>
          <w:tab w:val="left" w:pos="180"/>
        </w:tabs>
        <w:spacing w:after="0" w:line="276" w:lineRule="auto"/>
        <w:jc w:val="both"/>
      </w:pPr>
      <w:r w:rsidRPr="00D55B2D">
        <w:t>To date, GFH has built a portfolio of assets in the US medical office building sector valued at</w:t>
      </w:r>
      <w:r w:rsidR="00E354EA">
        <w:t xml:space="preserve"> c. </w:t>
      </w:r>
      <w:r w:rsidRPr="00D55B2D">
        <w:t xml:space="preserve"> </w:t>
      </w:r>
      <w:r w:rsidRPr="00856821">
        <w:t>US$</w:t>
      </w:r>
      <w:r w:rsidR="00E354EA" w:rsidRPr="00856821">
        <w:t>1 b</w:t>
      </w:r>
      <w:r w:rsidR="004901B7" w:rsidRPr="00856821">
        <w:t>illio</w:t>
      </w:r>
      <w:r w:rsidR="00E354EA" w:rsidRPr="00856821">
        <w:t>n</w:t>
      </w:r>
      <w:r w:rsidRPr="00856821">
        <w:t>.</w:t>
      </w:r>
    </w:p>
    <w:p w14:paraId="0C3C7E98" w14:textId="77777777" w:rsidR="000C50D6" w:rsidRPr="00503353" w:rsidRDefault="000C50D6" w:rsidP="00243D92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p w14:paraId="07D1487E" w14:textId="77777777" w:rsidR="00503353" w:rsidRPr="000D57A1" w:rsidRDefault="000D57A1" w:rsidP="00503353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D57A1">
        <w:rPr>
          <w:rFonts w:asciiTheme="minorHAnsi" w:hAnsiTheme="minorHAnsi" w:cstheme="minorHAnsi"/>
          <w:b/>
          <w:bCs/>
          <w:color w:val="000000"/>
          <w:sz w:val="22"/>
          <w:szCs w:val="22"/>
        </w:rPr>
        <w:t>-</w:t>
      </w:r>
      <w:r w:rsidR="00503353" w:rsidRPr="000D57A1">
        <w:rPr>
          <w:rFonts w:asciiTheme="minorHAnsi" w:hAnsiTheme="minorHAnsi" w:cstheme="minorHAnsi"/>
          <w:b/>
          <w:bCs/>
          <w:color w:val="000000"/>
          <w:sz w:val="22"/>
          <w:szCs w:val="22"/>
        </w:rPr>
        <w:t>Ends</w:t>
      </w:r>
      <w:r w:rsidRPr="000D57A1">
        <w:rPr>
          <w:rFonts w:asciiTheme="minorHAnsi" w:hAnsiTheme="minorHAnsi" w:cstheme="minorHAnsi"/>
          <w:b/>
          <w:bCs/>
          <w:color w:val="000000"/>
          <w:sz w:val="22"/>
          <w:szCs w:val="22"/>
        </w:rPr>
        <w:t>-</w:t>
      </w:r>
    </w:p>
    <w:p w14:paraId="02D6B0E4" w14:textId="77777777" w:rsidR="00E00C90" w:rsidRDefault="00E00C90" w:rsidP="004E75E7">
      <w:pPr>
        <w:pStyle w:val="Body"/>
        <w:spacing w:after="0" w:line="240" w:lineRule="auto"/>
        <w:rPr>
          <w:b/>
          <w:bCs/>
          <w:sz w:val="20"/>
          <w:szCs w:val="20"/>
          <w:lang w:val="en-US"/>
        </w:rPr>
      </w:pPr>
    </w:p>
    <w:p w14:paraId="014CC744" w14:textId="77777777" w:rsidR="000B7B6B" w:rsidRDefault="000B7B6B" w:rsidP="004E75E7">
      <w:pPr>
        <w:pStyle w:val="Body"/>
        <w:spacing w:after="0" w:line="240" w:lineRule="auto"/>
        <w:rPr>
          <w:b/>
          <w:bCs/>
          <w:sz w:val="20"/>
          <w:szCs w:val="20"/>
          <w:lang w:val="en-US"/>
        </w:rPr>
      </w:pPr>
    </w:p>
    <w:p w14:paraId="7985242A" w14:textId="77777777" w:rsidR="000B7B6B" w:rsidRDefault="000B7B6B" w:rsidP="004E75E7">
      <w:pPr>
        <w:pStyle w:val="Body"/>
        <w:spacing w:after="0" w:line="240" w:lineRule="auto"/>
        <w:rPr>
          <w:b/>
          <w:bCs/>
          <w:sz w:val="20"/>
          <w:szCs w:val="20"/>
          <w:lang w:val="en-US"/>
        </w:rPr>
      </w:pPr>
    </w:p>
    <w:p w14:paraId="03C95365" w14:textId="77777777" w:rsidR="004E75E7" w:rsidRPr="00E00C90" w:rsidRDefault="004E75E7" w:rsidP="004E75E7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0C90">
        <w:rPr>
          <w:b/>
          <w:bCs/>
          <w:sz w:val="20"/>
          <w:szCs w:val="20"/>
          <w:lang w:val="en-US"/>
        </w:rPr>
        <w:t>About GFH Financial Group B.S.C.:</w:t>
      </w:r>
    </w:p>
    <w:p w14:paraId="5D90FEF7" w14:textId="77777777" w:rsidR="004E75E7" w:rsidRPr="00E00C90" w:rsidRDefault="004E75E7" w:rsidP="004E75E7">
      <w:pPr>
        <w:pStyle w:val="Body"/>
        <w:spacing w:after="0" w:line="240" w:lineRule="auto"/>
        <w:jc w:val="both"/>
        <w:rPr>
          <w:sz w:val="20"/>
          <w:szCs w:val="20"/>
        </w:rPr>
      </w:pPr>
      <w:r w:rsidRPr="00E00C90">
        <w:rPr>
          <w:sz w:val="20"/>
          <w:szCs w:val="20"/>
          <w:lang w:val="en-US"/>
        </w:rPr>
        <w:t xml:space="preserve">GFH is one of the most recognised financial groups in the Gulf region. Its businesses include Asset Management, Wealth Management, Commercial Banking and </w:t>
      </w:r>
      <w:r w:rsidR="00557364">
        <w:rPr>
          <w:sz w:val="20"/>
          <w:szCs w:val="20"/>
          <w:lang w:val="en-US"/>
        </w:rPr>
        <w:t>Proprietary investments</w:t>
      </w:r>
      <w:r w:rsidRPr="00E00C90">
        <w:rPr>
          <w:sz w:val="20"/>
          <w:szCs w:val="20"/>
          <w:lang w:val="en-US"/>
        </w:rPr>
        <w:t xml:space="preserve">. The Group’s operations are focused in the GCC, </w:t>
      </w:r>
      <w:r w:rsidR="00557364">
        <w:rPr>
          <w:sz w:val="20"/>
          <w:szCs w:val="20"/>
          <w:lang w:val="en-US"/>
        </w:rPr>
        <w:t>US and Europe</w:t>
      </w:r>
      <w:r w:rsidRPr="00E00C90">
        <w:rPr>
          <w:sz w:val="20"/>
          <w:szCs w:val="20"/>
          <w:lang w:val="en-US"/>
        </w:rPr>
        <w:t>. GFH is listed in Bahrain Bourse, Boursa</w:t>
      </w:r>
      <w:r w:rsidR="00557364">
        <w:rPr>
          <w:sz w:val="20"/>
          <w:szCs w:val="20"/>
          <w:lang w:val="en-US"/>
        </w:rPr>
        <w:t xml:space="preserve"> Kuwait,</w:t>
      </w:r>
      <w:r w:rsidRPr="00E00C90">
        <w:rPr>
          <w:sz w:val="20"/>
          <w:szCs w:val="20"/>
          <w:lang w:val="en-US"/>
        </w:rPr>
        <w:t xml:space="preserve"> Dubai Financial Market</w:t>
      </w:r>
      <w:r w:rsidR="00557364">
        <w:rPr>
          <w:sz w:val="20"/>
          <w:szCs w:val="20"/>
          <w:lang w:val="en-US"/>
        </w:rPr>
        <w:t xml:space="preserve"> and ADX</w:t>
      </w:r>
      <w:r w:rsidRPr="00E00C90">
        <w:rPr>
          <w:sz w:val="20"/>
          <w:szCs w:val="20"/>
          <w:lang w:val="en-US"/>
        </w:rPr>
        <w:t xml:space="preserve">. For more information, please visit </w:t>
      </w:r>
      <w:r w:rsidRPr="00E00C90">
        <w:rPr>
          <w:color w:val="333333"/>
          <w:sz w:val="20"/>
          <w:szCs w:val="20"/>
          <w:u w:color="333333"/>
        </w:rPr>
        <w:t xml:space="preserve">www.gfh.com   </w:t>
      </w:r>
      <w:r w:rsidRPr="00E00C90">
        <w:rPr>
          <w:sz w:val="20"/>
          <w:szCs w:val="20"/>
        </w:rPr>
        <w:t xml:space="preserve"> </w:t>
      </w:r>
    </w:p>
    <w:p w14:paraId="1E922931" w14:textId="77777777" w:rsidR="004E75E7" w:rsidRPr="00E00C90" w:rsidRDefault="004E75E7" w:rsidP="006B73A1">
      <w:pPr>
        <w:rPr>
          <w:b/>
          <w:bCs/>
          <w:sz w:val="20"/>
          <w:szCs w:val="20"/>
          <w:u w:val="single"/>
          <w:lang w:val="en-US"/>
        </w:rPr>
      </w:pPr>
    </w:p>
    <w:p w14:paraId="68430002" w14:textId="77777777" w:rsidR="006B73A1" w:rsidRPr="00E00C90" w:rsidRDefault="006B73A1" w:rsidP="006B73A1">
      <w:pPr>
        <w:rPr>
          <w:b/>
          <w:bCs/>
          <w:sz w:val="20"/>
          <w:szCs w:val="20"/>
          <w:u w:val="single"/>
          <w:lang w:val="en-US"/>
        </w:rPr>
      </w:pPr>
      <w:r w:rsidRPr="00E00C90">
        <w:rPr>
          <w:b/>
          <w:bCs/>
          <w:sz w:val="20"/>
          <w:szCs w:val="20"/>
          <w:u w:val="single"/>
          <w:lang w:val="en-US"/>
        </w:rPr>
        <w:t>For more information contact:</w:t>
      </w:r>
    </w:p>
    <w:p w14:paraId="6D644A4E" w14:textId="77777777" w:rsidR="00024DAF" w:rsidRPr="00E00C90" w:rsidRDefault="00024DAF" w:rsidP="00024DAF">
      <w:pPr>
        <w:pStyle w:val="BodyA"/>
        <w:spacing w:after="0" w:line="240" w:lineRule="auto"/>
        <w:jc w:val="both"/>
        <w:rPr>
          <w:rStyle w:val="None"/>
          <w:b/>
          <w:bCs/>
          <w:sz w:val="20"/>
          <w:szCs w:val="20"/>
        </w:rPr>
      </w:pPr>
      <w:r w:rsidRPr="00E00C90">
        <w:rPr>
          <w:rStyle w:val="None"/>
          <w:b/>
          <w:bCs/>
          <w:sz w:val="20"/>
          <w:szCs w:val="20"/>
        </w:rPr>
        <w:t>GFH Financial Group</w:t>
      </w:r>
    </w:p>
    <w:p w14:paraId="3B837CA9" w14:textId="77777777" w:rsidR="00024DAF" w:rsidRPr="00E00C90" w:rsidRDefault="00024DAF" w:rsidP="00024DAF">
      <w:pPr>
        <w:pStyle w:val="BodyA"/>
        <w:spacing w:after="0" w:line="240" w:lineRule="auto"/>
        <w:jc w:val="both"/>
        <w:rPr>
          <w:rStyle w:val="None"/>
          <w:bCs/>
          <w:sz w:val="20"/>
          <w:szCs w:val="20"/>
        </w:rPr>
      </w:pPr>
      <w:r w:rsidRPr="00E00C90">
        <w:rPr>
          <w:rStyle w:val="None"/>
          <w:bCs/>
          <w:sz w:val="20"/>
          <w:szCs w:val="20"/>
        </w:rPr>
        <w:t>Nawal Al Naji</w:t>
      </w:r>
    </w:p>
    <w:p w14:paraId="3E522FA5" w14:textId="77777777" w:rsidR="00024DAF" w:rsidRPr="00E00C90" w:rsidRDefault="000D57A1" w:rsidP="00024DAF">
      <w:pPr>
        <w:pStyle w:val="BodyA"/>
        <w:spacing w:after="0" w:line="240" w:lineRule="auto"/>
        <w:jc w:val="both"/>
        <w:rPr>
          <w:rStyle w:val="None"/>
          <w:bCs/>
          <w:sz w:val="20"/>
          <w:szCs w:val="20"/>
        </w:rPr>
      </w:pPr>
      <w:r w:rsidRPr="00E00C90">
        <w:rPr>
          <w:rStyle w:val="None"/>
          <w:bCs/>
          <w:sz w:val="20"/>
          <w:szCs w:val="20"/>
        </w:rPr>
        <w:t xml:space="preserve">Senior </w:t>
      </w:r>
      <w:r w:rsidR="00024DAF" w:rsidRPr="00E00C90">
        <w:rPr>
          <w:rStyle w:val="None"/>
          <w:bCs/>
          <w:sz w:val="20"/>
          <w:szCs w:val="20"/>
        </w:rPr>
        <w:t>Manager- Corporate Communications</w:t>
      </w:r>
    </w:p>
    <w:p w14:paraId="71FA9505" w14:textId="77777777" w:rsidR="00024DAF" w:rsidRPr="00E00C90" w:rsidRDefault="00024DAF" w:rsidP="00024DAF">
      <w:pPr>
        <w:pStyle w:val="BodyA"/>
        <w:spacing w:after="0" w:line="240" w:lineRule="auto"/>
        <w:jc w:val="both"/>
        <w:rPr>
          <w:rStyle w:val="None"/>
          <w:sz w:val="20"/>
          <w:szCs w:val="20"/>
        </w:rPr>
      </w:pPr>
      <w:r w:rsidRPr="00E00C90">
        <w:rPr>
          <w:rStyle w:val="None"/>
          <w:sz w:val="20"/>
          <w:szCs w:val="20"/>
        </w:rPr>
        <w:t>Tel: +973 17538538</w:t>
      </w:r>
    </w:p>
    <w:p w14:paraId="3533D6FB" w14:textId="77777777" w:rsidR="00024DAF" w:rsidRPr="00E00C90" w:rsidRDefault="00024DAF" w:rsidP="00024DAF">
      <w:pPr>
        <w:pStyle w:val="BodyA"/>
        <w:spacing w:after="0" w:line="240" w:lineRule="auto"/>
        <w:jc w:val="both"/>
        <w:rPr>
          <w:rStyle w:val="None"/>
          <w:sz w:val="20"/>
          <w:szCs w:val="20"/>
        </w:rPr>
      </w:pPr>
      <w:r w:rsidRPr="00E00C90">
        <w:rPr>
          <w:rStyle w:val="None"/>
          <w:sz w:val="20"/>
          <w:szCs w:val="20"/>
        </w:rPr>
        <w:t xml:space="preserve">Email: </w:t>
      </w:r>
      <w:r w:rsidRPr="00E00C90">
        <w:rPr>
          <w:rStyle w:val="None"/>
          <w:bCs/>
          <w:sz w:val="20"/>
          <w:szCs w:val="20"/>
        </w:rPr>
        <w:t>Nalnaji@gfh.com</w:t>
      </w:r>
    </w:p>
    <w:p w14:paraId="20CB1FE5" w14:textId="77777777" w:rsidR="00024DAF" w:rsidRPr="00E00C90" w:rsidRDefault="00024DAF" w:rsidP="006B73A1">
      <w:pPr>
        <w:pStyle w:val="Body"/>
        <w:spacing w:after="0" w:line="240" w:lineRule="auto"/>
        <w:rPr>
          <w:b/>
          <w:bCs/>
          <w:sz w:val="20"/>
          <w:szCs w:val="20"/>
        </w:rPr>
      </w:pPr>
    </w:p>
    <w:p w14:paraId="2B935D53" w14:textId="77777777" w:rsidR="003942EE" w:rsidRPr="00EE4D29" w:rsidRDefault="006B73A1" w:rsidP="00EE4D29">
      <w:pPr>
        <w:pStyle w:val="Body"/>
        <w:spacing w:after="0" w:line="240" w:lineRule="auto"/>
        <w:jc w:val="both"/>
      </w:pPr>
      <w:r w:rsidRPr="003942EE">
        <w:t xml:space="preserve"> </w:t>
      </w:r>
    </w:p>
    <w:sectPr w:rsidR="003942EE" w:rsidRPr="00EE4D29" w:rsidSect="003942EE">
      <w:headerReference w:type="default" r:id="rId7"/>
      <w:pgSz w:w="12240" w:h="15840"/>
      <w:pgMar w:top="1843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99334" w14:textId="77777777" w:rsidR="008B7FC5" w:rsidRDefault="008B7FC5" w:rsidP="002826FD">
      <w:pPr>
        <w:spacing w:after="0" w:line="240" w:lineRule="auto"/>
      </w:pPr>
      <w:r>
        <w:separator/>
      </w:r>
    </w:p>
  </w:endnote>
  <w:endnote w:type="continuationSeparator" w:id="0">
    <w:p w14:paraId="3BC65D55" w14:textId="77777777" w:rsidR="008B7FC5" w:rsidRDefault="008B7FC5" w:rsidP="002826FD">
      <w:pPr>
        <w:spacing w:after="0" w:line="240" w:lineRule="auto"/>
      </w:pPr>
      <w:r>
        <w:continuationSeparator/>
      </w:r>
    </w:p>
  </w:endnote>
  <w:endnote w:type="continuationNotice" w:id="1">
    <w:p w14:paraId="01B30374" w14:textId="77777777" w:rsidR="008B7FC5" w:rsidRDefault="008B7F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24631" w14:textId="77777777" w:rsidR="008B7FC5" w:rsidRDefault="008B7FC5" w:rsidP="002826FD">
      <w:pPr>
        <w:spacing w:after="0" w:line="240" w:lineRule="auto"/>
      </w:pPr>
      <w:r>
        <w:separator/>
      </w:r>
    </w:p>
  </w:footnote>
  <w:footnote w:type="continuationSeparator" w:id="0">
    <w:p w14:paraId="3A754A48" w14:textId="77777777" w:rsidR="008B7FC5" w:rsidRDefault="008B7FC5" w:rsidP="002826FD">
      <w:pPr>
        <w:spacing w:after="0" w:line="240" w:lineRule="auto"/>
      </w:pPr>
      <w:r>
        <w:continuationSeparator/>
      </w:r>
    </w:p>
  </w:footnote>
  <w:footnote w:type="continuationNotice" w:id="1">
    <w:p w14:paraId="28CB5847" w14:textId="77777777" w:rsidR="008B7FC5" w:rsidRDefault="008B7F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2D848" w14:textId="77777777" w:rsidR="002826FD" w:rsidRDefault="002826FD" w:rsidP="002826FD">
    <w:pPr>
      <w:pStyle w:val="Header"/>
      <w:jc w:val="center"/>
    </w:pPr>
    <w:r>
      <w:rPr>
        <w:noProof/>
        <w:lang w:val="en-US"/>
      </w:rPr>
      <w:drawing>
        <wp:inline distT="0" distB="0" distL="0" distR="0" wp14:anchorId="28A12BD5" wp14:editId="4A1B4C64">
          <wp:extent cx="1266825" cy="409575"/>
          <wp:effectExtent l="0" t="0" r="9525" b="9525"/>
          <wp:docPr id="3" name="officeArt object" descr="GFH Logo_Ne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FH Logo_New.jpg" descr="GFH Logo_New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825" cy="409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E5426"/>
    <w:multiLevelType w:val="hybridMultilevel"/>
    <w:tmpl w:val="97DAF3AE"/>
    <w:lvl w:ilvl="0" w:tplc="E410D19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E6A82"/>
    <w:multiLevelType w:val="hybridMultilevel"/>
    <w:tmpl w:val="8950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A7E1D"/>
    <w:multiLevelType w:val="hybridMultilevel"/>
    <w:tmpl w:val="D3E2FFB0"/>
    <w:lvl w:ilvl="0" w:tplc="FFFFFFFF">
      <w:start w:val="1"/>
      <w:numFmt w:val="decimal"/>
      <w:lvlText w:val="%1-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16650D"/>
    <w:multiLevelType w:val="hybridMultilevel"/>
    <w:tmpl w:val="F222C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A01E4"/>
    <w:multiLevelType w:val="hybridMultilevel"/>
    <w:tmpl w:val="C3808AC0"/>
    <w:lvl w:ilvl="0" w:tplc="61F44144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D81976"/>
    <w:multiLevelType w:val="hybridMultilevel"/>
    <w:tmpl w:val="4470091A"/>
    <w:lvl w:ilvl="0" w:tplc="FA3098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04C44"/>
    <w:multiLevelType w:val="hybridMultilevel"/>
    <w:tmpl w:val="9CF288A2"/>
    <w:lvl w:ilvl="0" w:tplc="3E0837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AD"/>
    <w:rsid w:val="00024DAF"/>
    <w:rsid w:val="00082BEF"/>
    <w:rsid w:val="000B7B6B"/>
    <w:rsid w:val="000C50D6"/>
    <w:rsid w:val="000D57A1"/>
    <w:rsid w:val="00101459"/>
    <w:rsid w:val="0013637F"/>
    <w:rsid w:val="00144319"/>
    <w:rsid w:val="00165C6F"/>
    <w:rsid w:val="001660AA"/>
    <w:rsid w:val="00194B9D"/>
    <w:rsid w:val="001C2B38"/>
    <w:rsid w:val="00201282"/>
    <w:rsid w:val="0021383A"/>
    <w:rsid w:val="002239CA"/>
    <w:rsid w:val="00236A5D"/>
    <w:rsid w:val="00243D92"/>
    <w:rsid w:val="002826FD"/>
    <w:rsid w:val="00287E15"/>
    <w:rsid w:val="00291FAD"/>
    <w:rsid w:val="002F12C8"/>
    <w:rsid w:val="0030082A"/>
    <w:rsid w:val="00344C06"/>
    <w:rsid w:val="00366F1A"/>
    <w:rsid w:val="00373F1C"/>
    <w:rsid w:val="0038206C"/>
    <w:rsid w:val="003942EE"/>
    <w:rsid w:val="003C2281"/>
    <w:rsid w:val="003C7A6A"/>
    <w:rsid w:val="003D6BE2"/>
    <w:rsid w:val="0040203E"/>
    <w:rsid w:val="0042274E"/>
    <w:rsid w:val="00456562"/>
    <w:rsid w:val="00480CFF"/>
    <w:rsid w:val="00482A42"/>
    <w:rsid w:val="004901B7"/>
    <w:rsid w:val="004B017C"/>
    <w:rsid w:val="004B70B9"/>
    <w:rsid w:val="004D121E"/>
    <w:rsid w:val="004E53C7"/>
    <w:rsid w:val="004E75E7"/>
    <w:rsid w:val="00503353"/>
    <w:rsid w:val="00504508"/>
    <w:rsid w:val="00557364"/>
    <w:rsid w:val="0057283C"/>
    <w:rsid w:val="00573030"/>
    <w:rsid w:val="00595040"/>
    <w:rsid w:val="005A7FAB"/>
    <w:rsid w:val="005B0005"/>
    <w:rsid w:val="005F025B"/>
    <w:rsid w:val="00613D2A"/>
    <w:rsid w:val="0063410E"/>
    <w:rsid w:val="006A66A0"/>
    <w:rsid w:val="006B73A1"/>
    <w:rsid w:val="006D7E4B"/>
    <w:rsid w:val="006E2F7A"/>
    <w:rsid w:val="006E513A"/>
    <w:rsid w:val="007001D2"/>
    <w:rsid w:val="00701348"/>
    <w:rsid w:val="00744D5E"/>
    <w:rsid w:val="007571AD"/>
    <w:rsid w:val="00774A51"/>
    <w:rsid w:val="007B1533"/>
    <w:rsid w:val="007B3F61"/>
    <w:rsid w:val="007C0EBE"/>
    <w:rsid w:val="00814A64"/>
    <w:rsid w:val="00823F94"/>
    <w:rsid w:val="00856821"/>
    <w:rsid w:val="008626A0"/>
    <w:rsid w:val="008633A0"/>
    <w:rsid w:val="008712E7"/>
    <w:rsid w:val="0089460B"/>
    <w:rsid w:val="008A4FBD"/>
    <w:rsid w:val="008B7FC5"/>
    <w:rsid w:val="008C3330"/>
    <w:rsid w:val="0090010E"/>
    <w:rsid w:val="009350C0"/>
    <w:rsid w:val="00960179"/>
    <w:rsid w:val="009956A2"/>
    <w:rsid w:val="00996E75"/>
    <w:rsid w:val="009A01C1"/>
    <w:rsid w:val="009A4729"/>
    <w:rsid w:val="009C12A3"/>
    <w:rsid w:val="009C4CFD"/>
    <w:rsid w:val="009D0200"/>
    <w:rsid w:val="009D3761"/>
    <w:rsid w:val="00A0162B"/>
    <w:rsid w:val="00A338D1"/>
    <w:rsid w:val="00A33DC7"/>
    <w:rsid w:val="00A62163"/>
    <w:rsid w:val="00A70B0A"/>
    <w:rsid w:val="00A84C1A"/>
    <w:rsid w:val="00AA018F"/>
    <w:rsid w:val="00AB0353"/>
    <w:rsid w:val="00AC0E2E"/>
    <w:rsid w:val="00AE4905"/>
    <w:rsid w:val="00AF2A6F"/>
    <w:rsid w:val="00B22CD6"/>
    <w:rsid w:val="00B346AC"/>
    <w:rsid w:val="00B51752"/>
    <w:rsid w:val="00B531D0"/>
    <w:rsid w:val="00B8213B"/>
    <w:rsid w:val="00BA3B32"/>
    <w:rsid w:val="00BA5922"/>
    <w:rsid w:val="00BB1237"/>
    <w:rsid w:val="00BB3AED"/>
    <w:rsid w:val="00BB5344"/>
    <w:rsid w:val="00BC2D74"/>
    <w:rsid w:val="00BC655D"/>
    <w:rsid w:val="00BC7466"/>
    <w:rsid w:val="00BD4CB9"/>
    <w:rsid w:val="00BF4774"/>
    <w:rsid w:val="00C00479"/>
    <w:rsid w:val="00C26A4D"/>
    <w:rsid w:val="00C518CA"/>
    <w:rsid w:val="00C53D7C"/>
    <w:rsid w:val="00C73CCB"/>
    <w:rsid w:val="00C77EF2"/>
    <w:rsid w:val="00CD162A"/>
    <w:rsid w:val="00CE7AA1"/>
    <w:rsid w:val="00CF28D0"/>
    <w:rsid w:val="00D265A6"/>
    <w:rsid w:val="00D55B2D"/>
    <w:rsid w:val="00D65283"/>
    <w:rsid w:val="00D67FF7"/>
    <w:rsid w:val="00D7349A"/>
    <w:rsid w:val="00D84393"/>
    <w:rsid w:val="00DA7576"/>
    <w:rsid w:val="00DF5AA7"/>
    <w:rsid w:val="00E00C90"/>
    <w:rsid w:val="00E06852"/>
    <w:rsid w:val="00E15552"/>
    <w:rsid w:val="00E3135C"/>
    <w:rsid w:val="00E354EA"/>
    <w:rsid w:val="00E423D5"/>
    <w:rsid w:val="00E442EB"/>
    <w:rsid w:val="00E53C8A"/>
    <w:rsid w:val="00E66159"/>
    <w:rsid w:val="00E74C31"/>
    <w:rsid w:val="00E83E59"/>
    <w:rsid w:val="00E8706A"/>
    <w:rsid w:val="00EA22B7"/>
    <w:rsid w:val="00EE17A8"/>
    <w:rsid w:val="00EE483A"/>
    <w:rsid w:val="00EE4D29"/>
    <w:rsid w:val="00F2126F"/>
    <w:rsid w:val="00F42606"/>
    <w:rsid w:val="00F44F8B"/>
    <w:rsid w:val="00F60E11"/>
    <w:rsid w:val="00F621AE"/>
    <w:rsid w:val="00F76CFA"/>
    <w:rsid w:val="00FA3816"/>
    <w:rsid w:val="00FB04B3"/>
    <w:rsid w:val="00FB336C"/>
    <w:rsid w:val="00FD1352"/>
    <w:rsid w:val="00FD34A7"/>
    <w:rsid w:val="00FE2225"/>
    <w:rsid w:val="00FF0A23"/>
    <w:rsid w:val="00FF52C4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82113"/>
  <w15:chartTrackingRefBased/>
  <w15:docId w15:val="{FDE7B7E1-6633-4882-9307-E2007BF9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6FD"/>
  </w:style>
  <w:style w:type="paragraph" w:styleId="Footer">
    <w:name w:val="footer"/>
    <w:basedOn w:val="Normal"/>
    <w:link w:val="FooterChar"/>
    <w:uiPriority w:val="99"/>
    <w:unhideWhenUsed/>
    <w:rsid w:val="00282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6FD"/>
  </w:style>
  <w:style w:type="paragraph" w:styleId="ListParagraph">
    <w:name w:val="List Paragraph"/>
    <w:basedOn w:val="Normal"/>
    <w:uiPriority w:val="34"/>
    <w:qFormat/>
    <w:rsid w:val="002826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3A1"/>
    <w:rPr>
      <w:color w:val="0000FF"/>
      <w:u w:val="single"/>
    </w:rPr>
  </w:style>
  <w:style w:type="paragraph" w:customStyle="1" w:styleId="Body">
    <w:name w:val="Body"/>
    <w:rsid w:val="006B73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A0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A">
    <w:name w:val="Body A"/>
    <w:rsid w:val="00024D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None">
    <w:name w:val="None"/>
    <w:rsid w:val="00024DAF"/>
  </w:style>
  <w:style w:type="character" w:styleId="CommentReference">
    <w:name w:val="annotation reference"/>
    <w:basedOn w:val="DefaultParagraphFont"/>
    <w:uiPriority w:val="99"/>
    <w:semiHidden/>
    <w:unhideWhenUsed/>
    <w:rsid w:val="005B0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0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0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0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00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660AA"/>
    <w:pPr>
      <w:spacing w:after="0" w:line="240" w:lineRule="auto"/>
    </w:pPr>
  </w:style>
  <w:style w:type="character" w:customStyle="1" w:styleId="bumpedfont15">
    <w:name w:val="bumpedfont15"/>
    <w:basedOn w:val="DefaultParagraphFont"/>
    <w:rsid w:val="00194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Danesh</dc:creator>
  <cp:keywords/>
  <dc:description/>
  <cp:lastModifiedBy>Abdulla Engineer</cp:lastModifiedBy>
  <cp:revision>3</cp:revision>
  <dcterms:created xsi:type="dcterms:W3CDTF">2022-10-11T14:24:00Z</dcterms:created>
  <dcterms:modified xsi:type="dcterms:W3CDTF">2022-10-11T14:45:00Z</dcterms:modified>
</cp:coreProperties>
</file>