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7EAA" w14:textId="77777777" w:rsidR="00F937B4" w:rsidRDefault="00B76E2A" w:rsidP="00262415">
      <w:pPr>
        <w:jc w:val="center"/>
        <w:rPr>
          <w:b/>
          <w:bCs/>
          <w:sz w:val="28"/>
          <w:szCs w:val="28"/>
        </w:rPr>
      </w:pPr>
      <w:r>
        <w:rPr>
          <w:b/>
          <w:bCs/>
          <w:sz w:val="28"/>
          <w:szCs w:val="28"/>
        </w:rPr>
        <w:t xml:space="preserve">GFH’S NET PROFIT ATTRIBUTABLE TO SHAREHOLDERS RISES </w:t>
      </w:r>
      <w:r w:rsidR="00F72B6E">
        <w:rPr>
          <w:b/>
          <w:bCs/>
          <w:sz w:val="28"/>
          <w:szCs w:val="28"/>
        </w:rPr>
        <w:t>160.4</w:t>
      </w:r>
      <w:r w:rsidRPr="00262415">
        <w:rPr>
          <w:b/>
          <w:bCs/>
          <w:sz w:val="28"/>
          <w:szCs w:val="28"/>
        </w:rPr>
        <w:t>% TO US$</w:t>
      </w:r>
      <w:r w:rsidR="00F72B6E">
        <w:rPr>
          <w:b/>
          <w:bCs/>
          <w:sz w:val="28"/>
          <w:szCs w:val="28"/>
        </w:rPr>
        <w:t>60.34</w:t>
      </w:r>
      <w:r w:rsidRPr="00262415">
        <w:rPr>
          <w:b/>
          <w:bCs/>
          <w:sz w:val="28"/>
          <w:szCs w:val="28"/>
        </w:rPr>
        <w:t xml:space="preserve"> MILLION FOR FIRST </w:t>
      </w:r>
      <w:r>
        <w:rPr>
          <w:b/>
          <w:bCs/>
          <w:sz w:val="28"/>
          <w:szCs w:val="28"/>
        </w:rPr>
        <w:t>NINE MONTHS</w:t>
      </w:r>
      <w:r w:rsidRPr="00262415">
        <w:rPr>
          <w:b/>
          <w:bCs/>
          <w:sz w:val="28"/>
          <w:szCs w:val="28"/>
        </w:rPr>
        <w:t xml:space="preserve"> OF 2021</w:t>
      </w:r>
    </w:p>
    <w:p w14:paraId="2ED1FFF9" w14:textId="77777777" w:rsidR="004C67AD" w:rsidRPr="00262415" w:rsidRDefault="004C67AD" w:rsidP="003A5DC0">
      <w:pPr>
        <w:spacing w:after="0"/>
        <w:rPr>
          <w:b/>
          <w:bCs/>
          <w:sz w:val="28"/>
          <w:szCs w:val="28"/>
        </w:rPr>
      </w:pPr>
    </w:p>
    <w:p w14:paraId="4955C07C" w14:textId="77777777" w:rsidR="00AB2B36" w:rsidRPr="00262415" w:rsidRDefault="00AB2B36" w:rsidP="00262415">
      <w:pPr>
        <w:pStyle w:val="ListParagraph"/>
        <w:numPr>
          <w:ilvl w:val="0"/>
          <w:numId w:val="8"/>
        </w:numPr>
      </w:pPr>
      <w:r w:rsidRPr="00262415">
        <w:t xml:space="preserve">Income </w:t>
      </w:r>
      <w:r w:rsidR="0019381C">
        <w:t xml:space="preserve">up </w:t>
      </w:r>
      <w:r w:rsidR="00F72B6E">
        <w:t>26.39</w:t>
      </w:r>
      <w:r w:rsidR="0019381C">
        <w:t>% for the nine-month period, supported by strong</w:t>
      </w:r>
      <w:r w:rsidR="00B76E2A">
        <w:t xml:space="preserve"> and </w:t>
      </w:r>
      <w:r w:rsidR="0019381C">
        <w:t>steady recurring income streams</w:t>
      </w:r>
    </w:p>
    <w:p w14:paraId="79C62465" w14:textId="77777777" w:rsidR="00AB2B36" w:rsidRPr="00262415" w:rsidRDefault="0019381C" w:rsidP="00C274CB">
      <w:pPr>
        <w:pStyle w:val="ListParagraph"/>
        <w:numPr>
          <w:ilvl w:val="0"/>
          <w:numId w:val="8"/>
        </w:numPr>
      </w:pPr>
      <w:r>
        <w:t>C</w:t>
      </w:r>
      <w:r w:rsidR="00AB2B36" w:rsidRPr="00262415">
        <w:t>ont</w:t>
      </w:r>
      <w:r>
        <w:t>inued progress</w:t>
      </w:r>
      <w:r w:rsidR="008C5510">
        <w:t xml:space="preserve"> and contributions</w:t>
      </w:r>
      <w:r>
        <w:t xml:space="preserve"> </w:t>
      </w:r>
      <w:r w:rsidR="008C5510">
        <w:t xml:space="preserve">from </w:t>
      </w:r>
      <w:r>
        <w:t xml:space="preserve">across the Group’s diversified </w:t>
      </w:r>
      <w:r w:rsidR="00AB2B36" w:rsidRPr="00262415">
        <w:t>business</w:t>
      </w:r>
      <w:r w:rsidR="008C5510">
        <w:t xml:space="preserve"> </w:t>
      </w:r>
      <w:r w:rsidR="00AB2B36" w:rsidRPr="00262415">
        <w:t xml:space="preserve"> </w:t>
      </w:r>
      <w:r>
        <w:t xml:space="preserve"> </w:t>
      </w:r>
    </w:p>
    <w:p w14:paraId="416F1E3E" w14:textId="77777777" w:rsidR="00AB2B36" w:rsidRPr="00262415" w:rsidRDefault="00AB2B36" w:rsidP="00AB2B36">
      <w:pPr>
        <w:pStyle w:val="ListParagraph"/>
        <w:rPr>
          <w:b/>
          <w:bCs/>
        </w:rPr>
      </w:pPr>
    </w:p>
    <w:p w14:paraId="5EE80B8F" w14:textId="77777777" w:rsidR="00FE2CCD" w:rsidRPr="00262415" w:rsidRDefault="00806014" w:rsidP="00262415">
      <w:pPr>
        <w:jc w:val="both"/>
      </w:pPr>
      <w:r w:rsidRPr="00262415">
        <w:rPr>
          <w:b/>
          <w:bCs/>
        </w:rPr>
        <w:t xml:space="preserve">Manama – </w:t>
      </w:r>
      <w:r w:rsidR="00262415">
        <w:rPr>
          <w:b/>
          <w:bCs/>
        </w:rPr>
        <w:t>1</w:t>
      </w:r>
      <w:r w:rsidR="00C53838">
        <w:rPr>
          <w:b/>
          <w:bCs/>
        </w:rPr>
        <w:t>1</w:t>
      </w:r>
      <w:r w:rsidR="00262415" w:rsidRPr="00262415">
        <w:rPr>
          <w:b/>
          <w:bCs/>
          <w:vertAlign w:val="superscript"/>
        </w:rPr>
        <w:t>th</w:t>
      </w:r>
      <w:r w:rsidR="00262415">
        <w:rPr>
          <w:b/>
          <w:bCs/>
        </w:rPr>
        <w:t xml:space="preserve"> </w:t>
      </w:r>
      <w:r w:rsidR="00C53838">
        <w:rPr>
          <w:b/>
          <w:bCs/>
        </w:rPr>
        <w:t>November</w:t>
      </w:r>
      <w:r w:rsidR="003E5FB4" w:rsidRPr="00262415">
        <w:rPr>
          <w:b/>
          <w:bCs/>
        </w:rPr>
        <w:t xml:space="preserve"> </w:t>
      </w:r>
      <w:r w:rsidRPr="00262415">
        <w:rPr>
          <w:b/>
          <w:bCs/>
        </w:rPr>
        <w:t>202</w:t>
      </w:r>
      <w:r w:rsidR="00493EC7" w:rsidRPr="00262415">
        <w:rPr>
          <w:b/>
          <w:bCs/>
        </w:rPr>
        <w:t>1</w:t>
      </w:r>
      <w:r w:rsidRPr="00262415">
        <w:rPr>
          <w:b/>
          <w:bCs/>
        </w:rPr>
        <w:t xml:space="preserve"> – </w:t>
      </w:r>
      <w:r w:rsidRPr="00262415">
        <w:t xml:space="preserve">GFH Financial Group B.S.C </w:t>
      </w:r>
      <w:r w:rsidR="00A41762" w:rsidRPr="00262415">
        <w:t xml:space="preserve">(“GFH” or “the Group”) </w:t>
      </w:r>
      <w:r w:rsidRPr="00262415">
        <w:t>(Bahrain Bourse: GFH)</w:t>
      </w:r>
      <w:r w:rsidR="00A6271C" w:rsidRPr="00262415">
        <w:t xml:space="preserve"> today announced </w:t>
      </w:r>
      <w:r w:rsidR="00703449" w:rsidRPr="00262415">
        <w:t xml:space="preserve">its </w:t>
      </w:r>
      <w:r w:rsidR="00A6271C" w:rsidRPr="00262415">
        <w:t>financial results for the</w:t>
      </w:r>
      <w:r w:rsidR="00493EC7" w:rsidRPr="00262415">
        <w:t xml:space="preserve"> </w:t>
      </w:r>
      <w:r w:rsidR="0019381C">
        <w:t xml:space="preserve">third quarter and </w:t>
      </w:r>
      <w:r w:rsidR="00493EC7" w:rsidRPr="00262415">
        <w:t xml:space="preserve">first </w:t>
      </w:r>
      <w:r w:rsidR="0019381C">
        <w:t>nine</w:t>
      </w:r>
      <w:r w:rsidR="00493EC7" w:rsidRPr="00262415">
        <w:t xml:space="preserve"> months of the year </w:t>
      </w:r>
      <w:r w:rsidR="00442BF6" w:rsidRPr="00262415">
        <w:t xml:space="preserve">ended </w:t>
      </w:r>
      <w:r w:rsidR="004A4F73" w:rsidRPr="00262415">
        <w:t>3</w:t>
      </w:r>
      <w:r w:rsidR="00493EC7" w:rsidRPr="00262415">
        <w:t>0</w:t>
      </w:r>
      <w:r w:rsidR="004A4F73" w:rsidRPr="00262415">
        <w:t xml:space="preserve"> </w:t>
      </w:r>
      <w:r w:rsidR="0019381C">
        <w:t>September</w:t>
      </w:r>
      <w:r w:rsidR="0088362D" w:rsidRPr="00262415">
        <w:t xml:space="preserve"> </w:t>
      </w:r>
      <w:r w:rsidR="004A4F73" w:rsidRPr="00262415">
        <w:t>202</w:t>
      </w:r>
      <w:r w:rsidR="00493EC7" w:rsidRPr="00262415">
        <w:t>1</w:t>
      </w:r>
      <w:r w:rsidR="004A4F73" w:rsidRPr="00262415">
        <w:t xml:space="preserve"> (“the period”)</w:t>
      </w:r>
      <w:r w:rsidR="00703449" w:rsidRPr="00262415">
        <w:t>.</w:t>
      </w:r>
    </w:p>
    <w:p w14:paraId="07106164" w14:textId="77777777" w:rsidR="003D640C" w:rsidRDefault="00EB7812" w:rsidP="0063060B">
      <w:pPr>
        <w:spacing w:after="0"/>
        <w:jc w:val="both"/>
        <w:rPr>
          <w:lang w:val="en-US"/>
        </w:rPr>
      </w:pPr>
      <w:r w:rsidRPr="00262415">
        <w:t>The Group reported net profit attributable to shareholders of US$</w:t>
      </w:r>
      <w:r w:rsidR="00F72B6E">
        <w:t>23.30</w:t>
      </w:r>
      <w:r w:rsidRPr="00262415">
        <w:t xml:space="preserve"> million for the </w:t>
      </w:r>
      <w:r w:rsidR="0019381C">
        <w:t>third</w:t>
      </w:r>
      <w:r w:rsidRPr="00262415">
        <w:t xml:space="preserve"> quarter </w:t>
      </w:r>
      <w:r w:rsidR="006B3D47" w:rsidRPr="00262415">
        <w:t xml:space="preserve">of </w:t>
      </w:r>
      <w:r w:rsidR="00703449" w:rsidRPr="00262415">
        <w:t xml:space="preserve">the year </w:t>
      </w:r>
      <w:r w:rsidR="003D640C" w:rsidRPr="00262415">
        <w:t xml:space="preserve">up </w:t>
      </w:r>
      <w:r w:rsidR="00F72B6E">
        <w:t>187.30</w:t>
      </w:r>
      <w:r w:rsidR="003D640C" w:rsidRPr="00262415">
        <w:t xml:space="preserve">% when </w:t>
      </w:r>
      <w:r w:rsidRPr="00262415">
        <w:t>compared with US$</w:t>
      </w:r>
      <w:r w:rsidR="00F72B6E">
        <w:t>8.11</w:t>
      </w:r>
      <w:r w:rsidRPr="00262415">
        <w:t xml:space="preserve"> million </w:t>
      </w:r>
      <w:r w:rsidR="003D640C" w:rsidRPr="00262415">
        <w:t xml:space="preserve">for the </w:t>
      </w:r>
      <w:r w:rsidR="0019381C">
        <w:t>third</w:t>
      </w:r>
      <w:r w:rsidRPr="00262415">
        <w:t xml:space="preserve"> quarter of 2</w:t>
      </w:r>
      <w:r w:rsidR="00493EC7" w:rsidRPr="00262415">
        <w:t>020</w:t>
      </w:r>
      <w:r w:rsidR="003D640C" w:rsidRPr="00262415">
        <w:t>. The increase</w:t>
      </w:r>
      <w:r w:rsidR="0019381C">
        <w:t>, despite ongoing market pressures globally as a result of the COVID-19 pandemic, was supported by</w:t>
      </w:r>
      <w:r w:rsidR="003D640C" w:rsidRPr="00262415">
        <w:t xml:space="preserve"> strong performance across </w:t>
      </w:r>
      <w:r w:rsidR="0019381C">
        <w:t xml:space="preserve">the Group’s diversified business lines. </w:t>
      </w:r>
      <w:r w:rsidRPr="00262415">
        <w:rPr>
          <w:lang w:val="en-US"/>
        </w:rPr>
        <w:t>Earnings per share for</w:t>
      </w:r>
      <w:r w:rsidR="004E6A71">
        <w:rPr>
          <w:lang w:val="en-US"/>
        </w:rPr>
        <w:t xml:space="preserve"> the</w:t>
      </w:r>
      <w:r w:rsidRPr="00262415">
        <w:rPr>
          <w:lang w:val="en-US"/>
        </w:rPr>
        <w:t xml:space="preserve"> </w:t>
      </w:r>
      <w:r w:rsidR="003A5DC0">
        <w:rPr>
          <w:lang w:val="en-US"/>
        </w:rPr>
        <w:t>third</w:t>
      </w:r>
      <w:r w:rsidRPr="00262415">
        <w:rPr>
          <w:lang w:val="en-US"/>
        </w:rPr>
        <w:t xml:space="preserve"> quarter was US cents 0.</w:t>
      </w:r>
      <w:r w:rsidR="003A5DC0">
        <w:rPr>
          <w:lang w:val="en-US"/>
        </w:rPr>
        <w:t>76</w:t>
      </w:r>
      <w:r w:rsidRPr="00262415">
        <w:rPr>
          <w:lang w:val="en-US"/>
        </w:rPr>
        <w:t xml:space="preserve"> compared to US cents 0.</w:t>
      </w:r>
      <w:r w:rsidR="003A5DC0">
        <w:rPr>
          <w:lang w:val="en-US"/>
        </w:rPr>
        <w:t>24</w:t>
      </w:r>
      <w:r w:rsidR="00293B2E" w:rsidRPr="00262415">
        <w:rPr>
          <w:lang w:val="en-US"/>
        </w:rPr>
        <w:t xml:space="preserve"> </w:t>
      </w:r>
      <w:r w:rsidRPr="00262415">
        <w:rPr>
          <w:lang w:val="en-US"/>
        </w:rPr>
        <w:t>for the comparative quarter of 20</w:t>
      </w:r>
      <w:r w:rsidR="00493EC7" w:rsidRPr="00262415">
        <w:rPr>
          <w:lang w:val="en-US"/>
        </w:rPr>
        <w:t>20</w:t>
      </w:r>
      <w:r w:rsidRPr="00262415">
        <w:rPr>
          <w:lang w:val="en-US"/>
        </w:rPr>
        <w:t xml:space="preserve">. </w:t>
      </w:r>
      <w:r w:rsidR="00446B05" w:rsidRPr="00262415">
        <w:rPr>
          <w:lang w:val="en-US"/>
        </w:rPr>
        <w:t xml:space="preserve">Total income for the </w:t>
      </w:r>
      <w:r w:rsidR="002F24D9">
        <w:rPr>
          <w:lang w:val="en-US"/>
        </w:rPr>
        <w:t>third</w:t>
      </w:r>
      <w:r w:rsidR="00446B05" w:rsidRPr="00262415">
        <w:rPr>
          <w:lang w:val="en-US"/>
        </w:rPr>
        <w:t xml:space="preserve"> quarter of 2021 was US$</w:t>
      </w:r>
      <w:r w:rsidR="002F24D9">
        <w:rPr>
          <w:lang w:val="en-US"/>
        </w:rPr>
        <w:t>89</w:t>
      </w:r>
      <w:r w:rsidR="00446B05" w:rsidRPr="00262415">
        <w:rPr>
          <w:lang w:val="en-US"/>
        </w:rPr>
        <w:t>.</w:t>
      </w:r>
      <w:r w:rsidR="00F72B6E">
        <w:rPr>
          <w:lang w:val="en-US"/>
        </w:rPr>
        <w:t>60</w:t>
      </w:r>
      <w:r w:rsidR="00F72B6E" w:rsidRPr="00262415">
        <w:rPr>
          <w:lang w:val="en-US"/>
        </w:rPr>
        <w:t xml:space="preserve"> </w:t>
      </w:r>
      <w:r w:rsidR="00446B05" w:rsidRPr="00262415">
        <w:rPr>
          <w:lang w:val="en-US"/>
        </w:rPr>
        <w:t>million compared to US$</w:t>
      </w:r>
      <w:r w:rsidR="002F24D9">
        <w:rPr>
          <w:lang w:val="en-US"/>
        </w:rPr>
        <w:t>67</w:t>
      </w:r>
      <w:r w:rsidR="00446B05" w:rsidRPr="00262415">
        <w:rPr>
          <w:lang w:val="en-US"/>
        </w:rPr>
        <w:t>.</w:t>
      </w:r>
      <w:r w:rsidR="002F24D9">
        <w:rPr>
          <w:lang w:val="en-US"/>
        </w:rPr>
        <w:t>58</w:t>
      </w:r>
      <w:r w:rsidR="00446B05" w:rsidRPr="00262415">
        <w:rPr>
          <w:lang w:val="en-US"/>
        </w:rPr>
        <w:t xml:space="preserve"> million for the </w:t>
      </w:r>
      <w:r w:rsidR="002F24D9">
        <w:rPr>
          <w:lang w:val="en-US"/>
        </w:rPr>
        <w:t>third</w:t>
      </w:r>
      <w:r w:rsidR="00446B05" w:rsidRPr="00262415">
        <w:rPr>
          <w:lang w:val="en-US"/>
        </w:rPr>
        <w:t xml:space="preserve"> quarter of 2020, a rise of </w:t>
      </w:r>
      <w:r w:rsidR="00F72B6E">
        <w:rPr>
          <w:lang w:val="en-US"/>
        </w:rPr>
        <w:t>32.58</w:t>
      </w:r>
      <w:r w:rsidR="00446B05" w:rsidRPr="00262415">
        <w:rPr>
          <w:lang w:val="en-US"/>
        </w:rPr>
        <w:t>%.</w:t>
      </w:r>
      <w:r w:rsidR="00446B05">
        <w:rPr>
          <w:lang w:val="en-US"/>
        </w:rPr>
        <w:t xml:space="preserve">  </w:t>
      </w:r>
      <w:r w:rsidRPr="00262415">
        <w:rPr>
          <w:lang w:val="en-US"/>
        </w:rPr>
        <w:t xml:space="preserve">Consolidated net profit for the </w:t>
      </w:r>
      <w:r w:rsidR="002F24D9">
        <w:rPr>
          <w:lang w:val="en-US"/>
        </w:rPr>
        <w:t>third</w:t>
      </w:r>
      <w:r w:rsidRPr="00262415">
        <w:rPr>
          <w:lang w:val="en-US"/>
        </w:rPr>
        <w:t xml:space="preserve"> quarter was US$</w:t>
      </w:r>
      <w:r w:rsidR="000F19BE" w:rsidRPr="00262415">
        <w:rPr>
          <w:lang w:val="en-US"/>
        </w:rPr>
        <w:t>24</w:t>
      </w:r>
      <w:r w:rsidRPr="00262415">
        <w:rPr>
          <w:lang w:val="en-US"/>
        </w:rPr>
        <w:t>.</w:t>
      </w:r>
      <w:r w:rsidR="002F24D9">
        <w:rPr>
          <w:lang w:val="en-US"/>
        </w:rPr>
        <w:t>13</w:t>
      </w:r>
      <w:r w:rsidR="00DC61E1" w:rsidRPr="00262415">
        <w:rPr>
          <w:lang w:val="en-US"/>
        </w:rPr>
        <w:t xml:space="preserve"> </w:t>
      </w:r>
      <w:r w:rsidRPr="00262415">
        <w:rPr>
          <w:lang w:val="en-US"/>
        </w:rPr>
        <w:t>million compared with US$</w:t>
      </w:r>
      <w:r w:rsidR="002F24D9">
        <w:rPr>
          <w:lang w:val="en-US"/>
        </w:rPr>
        <w:t>9</w:t>
      </w:r>
      <w:r w:rsidRPr="00262415">
        <w:rPr>
          <w:lang w:val="en-US"/>
        </w:rPr>
        <w:t>.</w:t>
      </w:r>
      <w:r w:rsidR="002F24D9">
        <w:rPr>
          <w:lang w:val="en-US"/>
        </w:rPr>
        <w:t>92</w:t>
      </w:r>
      <w:r w:rsidRPr="00262415">
        <w:rPr>
          <w:lang w:val="en-US"/>
        </w:rPr>
        <w:t xml:space="preserve"> million in the </w:t>
      </w:r>
      <w:r w:rsidR="002F24D9">
        <w:rPr>
          <w:lang w:val="en-US"/>
        </w:rPr>
        <w:t>third</w:t>
      </w:r>
      <w:r w:rsidRPr="00262415">
        <w:rPr>
          <w:lang w:val="en-US"/>
        </w:rPr>
        <w:t xml:space="preserve"> quarter of 20</w:t>
      </w:r>
      <w:r w:rsidR="00493EC7" w:rsidRPr="00262415">
        <w:rPr>
          <w:lang w:val="en-US"/>
        </w:rPr>
        <w:t>20</w:t>
      </w:r>
      <w:r w:rsidRPr="00262415">
        <w:rPr>
          <w:lang w:val="en-US"/>
        </w:rPr>
        <w:t>, a</w:t>
      </w:r>
      <w:r w:rsidR="000F19BE" w:rsidRPr="00262415">
        <w:rPr>
          <w:lang w:val="en-US"/>
        </w:rPr>
        <w:t>n</w:t>
      </w:r>
      <w:r w:rsidRPr="00262415">
        <w:rPr>
          <w:lang w:val="en-US"/>
        </w:rPr>
        <w:t xml:space="preserve"> </w:t>
      </w:r>
      <w:r w:rsidR="00493EC7" w:rsidRPr="00262415">
        <w:rPr>
          <w:lang w:val="en-US"/>
        </w:rPr>
        <w:t>increase</w:t>
      </w:r>
      <w:r w:rsidR="000F19BE" w:rsidRPr="00262415">
        <w:rPr>
          <w:lang w:val="en-US"/>
        </w:rPr>
        <w:t xml:space="preserve"> </w:t>
      </w:r>
      <w:r w:rsidRPr="00262415">
        <w:rPr>
          <w:lang w:val="en-US"/>
        </w:rPr>
        <w:t xml:space="preserve">of </w:t>
      </w:r>
      <w:r w:rsidR="00F72B6E">
        <w:rPr>
          <w:lang w:val="en-US"/>
        </w:rPr>
        <w:t>143.25</w:t>
      </w:r>
      <w:r w:rsidRPr="00262415">
        <w:rPr>
          <w:lang w:val="en-US"/>
        </w:rPr>
        <w:t>%.</w:t>
      </w:r>
      <w:r w:rsidR="00194925">
        <w:rPr>
          <w:lang w:val="en-US"/>
        </w:rPr>
        <w:t xml:space="preserve"> </w:t>
      </w:r>
      <w:r w:rsidR="00FD249C">
        <w:rPr>
          <w:lang w:val="en-US"/>
        </w:rPr>
        <w:t xml:space="preserve">Among the main </w:t>
      </w:r>
      <w:r w:rsidR="00194925" w:rsidRPr="00DF25DB">
        <w:rPr>
          <w:lang w:val="en-US"/>
        </w:rPr>
        <w:t>contribut</w:t>
      </w:r>
      <w:r w:rsidR="00FD249C">
        <w:rPr>
          <w:lang w:val="en-US"/>
        </w:rPr>
        <w:t xml:space="preserve">ors to </w:t>
      </w:r>
      <w:r w:rsidR="002F24D9" w:rsidRPr="00DF25DB">
        <w:rPr>
          <w:lang w:val="en-US"/>
        </w:rPr>
        <w:t>third</w:t>
      </w:r>
      <w:r w:rsidR="00194925" w:rsidRPr="00DF25DB">
        <w:rPr>
          <w:lang w:val="en-US"/>
        </w:rPr>
        <w:t xml:space="preserve"> quarter </w:t>
      </w:r>
      <w:r w:rsidR="00FD249C">
        <w:rPr>
          <w:lang w:val="en-US"/>
        </w:rPr>
        <w:t xml:space="preserve">results were </w:t>
      </w:r>
      <w:r w:rsidR="00DF25DB" w:rsidRPr="00DF25DB">
        <w:rPr>
          <w:lang w:val="en-US"/>
        </w:rPr>
        <w:t xml:space="preserve">investment banking and treasury </w:t>
      </w:r>
      <w:r w:rsidR="00FD249C">
        <w:rPr>
          <w:lang w:val="en-US"/>
        </w:rPr>
        <w:t>income</w:t>
      </w:r>
      <w:r w:rsidR="00DF25DB" w:rsidRPr="00DF25DB">
        <w:rPr>
          <w:lang w:val="en-US"/>
        </w:rPr>
        <w:t xml:space="preserve">. Notably </w:t>
      </w:r>
      <w:r w:rsidR="00F72B6E">
        <w:t xml:space="preserve">deal structuring </w:t>
      </w:r>
      <w:r w:rsidR="00DF25DB">
        <w:t>fees of US$22.</w:t>
      </w:r>
      <w:r w:rsidR="003E758D">
        <w:t xml:space="preserve">65 </w:t>
      </w:r>
      <w:r w:rsidR="00DF25DB">
        <w:t>million were generated from three</w:t>
      </w:r>
      <w:r w:rsidR="00FD249C">
        <w:t xml:space="preserve"> key </w:t>
      </w:r>
      <w:r w:rsidR="00DF25DB">
        <w:t xml:space="preserve">investments, two in the US logistics sector involving </w:t>
      </w:r>
      <w:r w:rsidR="00FD249C">
        <w:t xml:space="preserve">the Group’s </w:t>
      </w:r>
      <w:r w:rsidR="00DF25DB">
        <w:t xml:space="preserve">Amazon and FedEx leased warehousing and distribution facilities </w:t>
      </w:r>
      <w:r w:rsidR="00FD249C">
        <w:t>recently acquired</w:t>
      </w:r>
      <w:r w:rsidR="004E6A71">
        <w:t>,</w:t>
      </w:r>
      <w:r w:rsidR="00FD249C">
        <w:t xml:space="preserve"> </w:t>
      </w:r>
      <w:r w:rsidR="00DF25DB">
        <w:t xml:space="preserve">as well as </w:t>
      </w:r>
      <w:r w:rsidR="00FD249C">
        <w:t>the placement of a</w:t>
      </w:r>
      <w:r w:rsidR="00DF25DB">
        <w:t xml:space="preserve"> US Multifamily Residential Portfolio. Also supporting income </w:t>
      </w:r>
      <w:r w:rsidR="00FD249C">
        <w:t xml:space="preserve">growth </w:t>
      </w:r>
      <w:r w:rsidR="00DF25DB">
        <w:t xml:space="preserve">and profits were </w:t>
      </w:r>
      <w:r w:rsidR="003E758D">
        <w:t>contributions from the Treasury business and commercial banking business of the Group</w:t>
      </w:r>
      <w:r w:rsidR="00DF25DB">
        <w:t xml:space="preserve">. </w:t>
      </w:r>
      <w:r w:rsidR="00194925" w:rsidRPr="00262415">
        <w:rPr>
          <w:lang w:val="en-US"/>
        </w:rPr>
        <w:t xml:space="preserve">Total expenses </w:t>
      </w:r>
      <w:r w:rsidR="008C5510">
        <w:rPr>
          <w:lang w:val="en-US"/>
        </w:rPr>
        <w:t xml:space="preserve">were up </w:t>
      </w:r>
      <w:r w:rsidR="003E758D">
        <w:rPr>
          <w:lang w:val="en-US"/>
        </w:rPr>
        <w:t>13.56</w:t>
      </w:r>
      <w:r w:rsidR="008C5510">
        <w:rPr>
          <w:lang w:val="en-US"/>
        </w:rPr>
        <w:t xml:space="preserve">% </w:t>
      </w:r>
      <w:r w:rsidR="00194925" w:rsidRPr="00262415">
        <w:rPr>
          <w:lang w:val="en-US"/>
        </w:rPr>
        <w:t xml:space="preserve">for the </w:t>
      </w:r>
      <w:r w:rsidR="008C5510">
        <w:rPr>
          <w:lang w:val="en-US"/>
        </w:rPr>
        <w:t>third</w:t>
      </w:r>
      <w:r w:rsidR="00194925" w:rsidRPr="00262415">
        <w:rPr>
          <w:lang w:val="en-US"/>
        </w:rPr>
        <w:t xml:space="preserve"> quarter </w:t>
      </w:r>
      <w:r w:rsidR="008C5510">
        <w:rPr>
          <w:lang w:val="en-US"/>
        </w:rPr>
        <w:t>reaching</w:t>
      </w:r>
      <w:r w:rsidR="00194925" w:rsidRPr="00262415">
        <w:rPr>
          <w:lang w:val="en-US"/>
        </w:rPr>
        <w:t xml:space="preserve"> US$65.</w:t>
      </w:r>
      <w:r w:rsidR="008C5510">
        <w:rPr>
          <w:lang w:val="en-US"/>
        </w:rPr>
        <w:t>47</w:t>
      </w:r>
      <w:r w:rsidR="00194925" w:rsidRPr="00262415">
        <w:rPr>
          <w:lang w:val="en-US"/>
        </w:rPr>
        <w:t xml:space="preserve"> million compared to US$</w:t>
      </w:r>
      <w:r w:rsidR="008C5510">
        <w:rPr>
          <w:lang w:val="en-US"/>
        </w:rPr>
        <w:t>57</w:t>
      </w:r>
      <w:r w:rsidR="00194925" w:rsidRPr="00262415">
        <w:rPr>
          <w:lang w:val="en-US"/>
        </w:rPr>
        <w:t>.</w:t>
      </w:r>
      <w:r w:rsidR="008C5510">
        <w:rPr>
          <w:lang w:val="en-US"/>
        </w:rPr>
        <w:t>65</w:t>
      </w:r>
      <w:r w:rsidR="00194925" w:rsidRPr="00262415">
        <w:rPr>
          <w:lang w:val="en-US"/>
        </w:rPr>
        <w:t xml:space="preserve"> million in the </w:t>
      </w:r>
      <w:r w:rsidR="008C5510">
        <w:rPr>
          <w:lang w:val="en-US"/>
        </w:rPr>
        <w:t>prior-year</w:t>
      </w:r>
      <w:r w:rsidR="00194925" w:rsidRPr="00262415">
        <w:rPr>
          <w:lang w:val="en-US"/>
        </w:rPr>
        <w:t xml:space="preserve"> period.</w:t>
      </w:r>
    </w:p>
    <w:p w14:paraId="1A74F726" w14:textId="77777777" w:rsidR="004E6A71" w:rsidRDefault="004E6A71" w:rsidP="004E6A71">
      <w:pPr>
        <w:spacing w:after="0"/>
        <w:jc w:val="both"/>
      </w:pPr>
    </w:p>
    <w:p w14:paraId="143A1AAA" w14:textId="77777777" w:rsidR="002E2478" w:rsidRPr="002E2478" w:rsidRDefault="00F40CEC" w:rsidP="00293B2E">
      <w:pPr>
        <w:jc w:val="both"/>
        <w:rPr>
          <w:lang w:val="en-US"/>
        </w:rPr>
      </w:pPr>
      <w:r w:rsidRPr="00262415">
        <w:t>Net profit attributable to shareholders was US$</w:t>
      </w:r>
      <w:r w:rsidR="003E758D">
        <w:t>60.34</w:t>
      </w:r>
      <w:r w:rsidRPr="00262415">
        <w:t xml:space="preserve"> million for the</w:t>
      </w:r>
      <w:r w:rsidR="00493EC7" w:rsidRPr="00262415">
        <w:t xml:space="preserve"> first </w:t>
      </w:r>
      <w:r w:rsidR="0019381C">
        <w:t xml:space="preserve">nine months </w:t>
      </w:r>
      <w:r w:rsidR="00493EC7" w:rsidRPr="00262415">
        <w:t>of 2021</w:t>
      </w:r>
      <w:r w:rsidR="00EB7812" w:rsidRPr="00262415">
        <w:t xml:space="preserve"> </w:t>
      </w:r>
      <w:r w:rsidRPr="00262415">
        <w:t>compared with US$</w:t>
      </w:r>
      <w:r w:rsidR="003E758D">
        <w:t>23.17</w:t>
      </w:r>
      <w:r w:rsidR="002F354B" w:rsidRPr="00262415">
        <w:t xml:space="preserve"> </w:t>
      </w:r>
      <w:r w:rsidRPr="00262415">
        <w:t xml:space="preserve">million in the </w:t>
      </w:r>
      <w:r w:rsidR="0019381C">
        <w:t>corresponding period of</w:t>
      </w:r>
      <w:r w:rsidR="004A4F73" w:rsidRPr="00262415">
        <w:t xml:space="preserve"> 20</w:t>
      </w:r>
      <w:r w:rsidR="00493EC7" w:rsidRPr="00262415">
        <w:t>20</w:t>
      </w:r>
      <w:r w:rsidR="004A4F73" w:rsidRPr="00262415">
        <w:t xml:space="preserve">, </w:t>
      </w:r>
      <w:r w:rsidRPr="00262415">
        <w:t>a</w:t>
      </w:r>
      <w:r w:rsidR="00F01993" w:rsidRPr="00262415">
        <w:t>n increase</w:t>
      </w:r>
      <w:r w:rsidRPr="00262415">
        <w:t xml:space="preserve"> of </w:t>
      </w:r>
      <w:r w:rsidR="003E758D">
        <w:t>160.42</w:t>
      </w:r>
      <w:r w:rsidRPr="002E7EE8">
        <w:t>%</w:t>
      </w:r>
      <w:r w:rsidR="00F01993" w:rsidRPr="002E7EE8">
        <w:t xml:space="preserve">. </w:t>
      </w:r>
      <w:r w:rsidR="00BF5F1E" w:rsidRPr="002E7EE8">
        <w:rPr>
          <w:lang w:val="en-US"/>
        </w:rPr>
        <w:t xml:space="preserve"> </w:t>
      </w:r>
      <w:r w:rsidR="00BF5F1E" w:rsidRPr="00DF25DB">
        <w:rPr>
          <w:lang w:val="en-US"/>
        </w:rPr>
        <w:t xml:space="preserve">Supporting growth for </w:t>
      </w:r>
      <w:r w:rsidR="004E6A71">
        <w:rPr>
          <w:lang w:val="en-US"/>
        </w:rPr>
        <w:t xml:space="preserve">the </w:t>
      </w:r>
      <w:r w:rsidR="0019381C" w:rsidRPr="00DF25DB">
        <w:rPr>
          <w:lang w:val="en-US"/>
        </w:rPr>
        <w:t>nine-month period</w:t>
      </w:r>
      <w:r w:rsidR="00BF5F1E" w:rsidRPr="00DF25DB">
        <w:rPr>
          <w:lang w:val="en-US"/>
        </w:rPr>
        <w:t xml:space="preserve"> was </w:t>
      </w:r>
      <w:r w:rsidR="003E758D">
        <w:rPr>
          <w:lang w:val="en-US"/>
        </w:rPr>
        <w:t xml:space="preserve">the increased deal placement, </w:t>
      </w:r>
      <w:r w:rsidR="00DF25DB" w:rsidRPr="00DF25DB">
        <w:rPr>
          <w:lang w:val="en-US"/>
        </w:rPr>
        <w:t xml:space="preserve">continued </w:t>
      </w:r>
      <w:r w:rsidR="004E6A71">
        <w:rPr>
          <w:lang w:val="en-US"/>
        </w:rPr>
        <w:t>expansion</w:t>
      </w:r>
      <w:r w:rsidR="00DF25DB" w:rsidRPr="00DF25DB">
        <w:rPr>
          <w:lang w:val="en-US"/>
        </w:rPr>
        <w:t xml:space="preserve"> </w:t>
      </w:r>
      <w:r w:rsidR="004E6A71">
        <w:rPr>
          <w:lang w:val="en-US"/>
        </w:rPr>
        <w:t>of the Group’s</w:t>
      </w:r>
      <w:r w:rsidR="00DF25DB" w:rsidRPr="00DF25DB">
        <w:rPr>
          <w:lang w:val="en-US"/>
        </w:rPr>
        <w:t xml:space="preserve"> </w:t>
      </w:r>
      <w:r w:rsidR="00BF5F1E" w:rsidRPr="00DF25DB">
        <w:rPr>
          <w:lang w:val="en-US"/>
        </w:rPr>
        <w:t>treasury activities</w:t>
      </w:r>
      <w:r w:rsidR="004E6A71">
        <w:rPr>
          <w:lang w:val="en-US"/>
        </w:rPr>
        <w:t xml:space="preserve"> and </w:t>
      </w:r>
      <w:r w:rsidR="00BF5F1E" w:rsidRPr="00DF25DB">
        <w:rPr>
          <w:lang w:val="en-US"/>
        </w:rPr>
        <w:t xml:space="preserve">stronger performance by </w:t>
      </w:r>
      <w:r w:rsidR="004E6A71">
        <w:rPr>
          <w:lang w:val="en-US"/>
        </w:rPr>
        <w:t xml:space="preserve">its </w:t>
      </w:r>
      <w:r w:rsidR="00BF5F1E" w:rsidRPr="00DF25DB">
        <w:rPr>
          <w:lang w:val="en-US"/>
        </w:rPr>
        <w:t>commercial banking subsidiary</w:t>
      </w:r>
      <w:r w:rsidR="00DF25DB" w:rsidRPr="00DF25DB">
        <w:rPr>
          <w:lang w:val="en-US"/>
        </w:rPr>
        <w:t xml:space="preserve">, </w:t>
      </w:r>
      <w:proofErr w:type="spellStart"/>
      <w:r w:rsidR="00DF25DB" w:rsidRPr="00DF25DB">
        <w:rPr>
          <w:lang w:val="en-US"/>
        </w:rPr>
        <w:t>Khaleeji</w:t>
      </w:r>
      <w:proofErr w:type="spellEnd"/>
      <w:r w:rsidR="00DF25DB" w:rsidRPr="00DF25DB">
        <w:rPr>
          <w:lang w:val="en-US"/>
        </w:rPr>
        <w:t xml:space="preserve"> Commercial Bank (KHCB</w:t>
      </w:r>
      <w:r w:rsidR="00C740AB">
        <w:rPr>
          <w:lang w:val="en-US"/>
        </w:rPr>
        <w:t>,</w:t>
      </w:r>
      <w:r w:rsidR="00DF25DB" w:rsidRPr="00DF25DB">
        <w:rPr>
          <w:lang w:val="en-US"/>
        </w:rPr>
        <w:t>)</w:t>
      </w:r>
      <w:r w:rsidR="00FD249C">
        <w:rPr>
          <w:lang w:val="en-US"/>
        </w:rPr>
        <w:t xml:space="preserve"> and </w:t>
      </w:r>
      <w:r w:rsidR="00DF25DB" w:rsidRPr="00DF25DB">
        <w:rPr>
          <w:lang w:val="en-US"/>
        </w:rPr>
        <w:t xml:space="preserve">real estate </w:t>
      </w:r>
      <w:r w:rsidR="004E6A71">
        <w:rPr>
          <w:lang w:val="en-US"/>
        </w:rPr>
        <w:t>business</w:t>
      </w:r>
      <w:r w:rsidR="00BF5F1E" w:rsidRPr="00DF25DB">
        <w:rPr>
          <w:lang w:val="en-US"/>
        </w:rPr>
        <w:t xml:space="preserve">. </w:t>
      </w:r>
      <w:r w:rsidR="00734472" w:rsidRPr="00DF25DB">
        <w:rPr>
          <w:lang w:val="en-US"/>
        </w:rPr>
        <w:t>Earnings</w:t>
      </w:r>
      <w:r w:rsidR="00734472" w:rsidRPr="00262415">
        <w:rPr>
          <w:lang w:val="en-US"/>
        </w:rPr>
        <w:t xml:space="preserve"> per share for the </w:t>
      </w:r>
      <w:r w:rsidR="004A4F73" w:rsidRPr="00262415">
        <w:rPr>
          <w:lang w:val="en-US"/>
        </w:rPr>
        <w:t xml:space="preserve">period </w:t>
      </w:r>
      <w:r w:rsidR="00734472" w:rsidRPr="00262415">
        <w:rPr>
          <w:lang w:val="en-US"/>
        </w:rPr>
        <w:t>was US cent</w:t>
      </w:r>
      <w:r w:rsidR="00F01993" w:rsidRPr="00262415">
        <w:rPr>
          <w:lang w:val="en-US"/>
        </w:rPr>
        <w:t>s 1</w:t>
      </w:r>
      <w:r w:rsidR="00734472" w:rsidRPr="00262415">
        <w:rPr>
          <w:lang w:val="en-US"/>
        </w:rPr>
        <w:t>.</w:t>
      </w:r>
      <w:r w:rsidR="003A5DC0">
        <w:rPr>
          <w:lang w:val="en-US"/>
        </w:rPr>
        <w:t>96</w:t>
      </w:r>
      <w:r w:rsidR="00865DED" w:rsidRPr="00262415">
        <w:rPr>
          <w:lang w:val="en-US"/>
        </w:rPr>
        <w:t xml:space="preserve"> </w:t>
      </w:r>
      <w:r w:rsidR="00734472" w:rsidRPr="00262415">
        <w:rPr>
          <w:lang w:val="en-US"/>
        </w:rPr>
        <w:t>compared to US</w:t>
      </w:r>
      <w:r w:rsidR="00FE2276" w:rsidRPr="00262415">
        <w:rPr>
          <w:lang w:val="en-US"/>
        </w:rPr>
        <w:t xml:space="preserve"> cents </w:t>
      </w:r>
      <w:r w:rsidR="00F01993" w:rsidRPr="00262415">
        <w:rPr>
          <w:lang w:val="en-US"/>
        </w:rPr>
        <w:t>0.</w:t>
      </w:r>
      <w:r w:rsidR="003A5DC0">
        <w:rPr>
          <w:lang w:val="en-US"/>
        </w:rPr>
        <w:t>69</w:t>
      </w:r>
      <w:r w:rsidR="00293B2E" w:rsidRPr="00262415">
        <w:rPr>
          <w:lang w:val="en-US"/>
        </w:rPr>
        <w:t xml:space="preserve"> </w:t>
      </w:r>
      <w:r w:rsidR="00734472" w:rsidRPr="00262415">
        <w:rPr>
          <w:lang w:val="en-US"/>
        </w:rPr>
        <w:t xml:space="preserve">for the </w:t>
      </w:r>
      <w:r w:rsidR="004A4F73" w:rsidRPr="00262415">
        <w:rPr>
          <w:lang w:val="en-US"/>
        </w:rPr>
        <w:t xml:space="preserve">first </w:t>
      </w:r>
      <w:r w:rsidR="0019381C">
        <w:rPr>
          <w:lang w:val="en-US"/>
        </w:rPr>
        <w:t>nine</w:t>
      </w:r>
      <w:r w:rsidR="004A4F73" w:rsidRPr="00262415">
        <w:rPr>
          <w:lang w:val="en-US"/>
        </w:rPr>
        <w:t xml:space="preserve"> months of 20</w:t>
      </w:r>
      <w:r w:rsidR="00493EC7" w:rsidRPr="00262415">
        <w:rPr>
          <w:lang w:val="en-US"/>
        </w:rPr>
        <w:t>20</w:t>
      </w:r>
      <w:r w:rsidR="00734472" w:rsidRPr="00262415">
        <w:rPr>
          <w:lang w:val="en-US"/>
        </w:rPr>
        <w:t xml:space="preserve">. </w:t>
      </w:r>
      <w:r w:rsidR="00446B05" w:rsidRPr="00262415">
        <w:rPr>
          <w:lang w:val="en-US"/>
        </w:rPr>
        <w:t xml:space="preserve">Total income for the </w:t>
      </w:r>
      <w:r w:rsidR="0019381C">
        <w:rPr>
          <w:lang w:val="en-US"/>
        </w:rPr>
        <w:t>first nine months</w:t>
      </w:r>
      <w:r w:rsidR="00446B05" w:rsidRPr="00262415">
        <w:rPr>
          <w:lang w:val="en-US"/>
        </w:rPr>
        <w:t xml:space="preserve"> of 2021 was US$</w:t>
      </w:r>
      <w:r w:rsidR="002F24D9">
        <w:rPr>
          <w:lang w:val="en-US"/>
        </w:rPr>
        <w:t>270</w:t>
      </w:r>
      <w:r w:rsidR="00446B05" w:rsidRPr="00262415">
        <w:rPr>
          <w:lang w:val="en-US"/>
        </w:rPr>
        <w:t>.</w:t>
      </w:r>
      <w:r w:rsidR="002F24D9">
        <w:rPr>
          <w:lang w:val="en-US"/>
        </w:rPr>
        <w:t>6</w:t>
      </w:r>
      <w:r w:rsidR="00446B05" w:rsidRPr="00262415">
        <w:rPr>
          <w:lang w:val="en-US"/>
        </w:rPr>
        <w:t>1 million versus US$</w:t>
      </w:r>
      <w:r w:rsidR="002F24D9">
        <w:rPr>
          <w:lang w:val="en-US"/>
        </w:rPr>
        <w:t>214</w:t>
      </w:r>
      <w:r w:rsidR="00446B05" w:rsidRPr="00262415">
        <w:rPr>
          <w:lang w:val="en-US"/>
        </w:rPr>
        <w:t>.</w:t>
      </w:r>
      <w:r w:rsidR="002F24D9">
        <w:rPr>
          <w:lang w:val="en-US"/>
        </w:rPr>
        <w:t>10</w:t>
      </w:r>
      <w:r w:rsidR="00446B05" w:rsidRPr="00262415">
        <w:rPr>
          <w:lang w:val="en-US"/>
        </w:rPr>
        <w:t xml:space="preserve"> million for the 2020 period, an increase of </w:t>
      </w:r>
      <w:r w:rsidR="003E758D">
        <w:rPr>
          <w:lang w:val="en-US"/>
        </w:rPr>
        <w:t>26.39</w:t>
      </w:r>
      <w:r w:rsidR="00446B05" w:rsidRPr="00262415">
        <w:rPr>
          <w:lang w:val="en-US"/>
        </w:rPr>
        <w:t xml:space="preserve">%. </w:t>
      </w:r>
      <w:r w:rsidR="002F24D9">
        <w:rPr>
          <w:lang w:val="en-US"/>
        </w:rPr>
        <w:t xml:space="preserve">Income growth continued to be supported by strengthening </w:t>
      </w:r>
      <w:r w:rsidR="00446B05" w:rsidRPr="00262415">
        <w:t xml:space="preserve">performance and contributions </w:t>
      </w:r>
      <w:r w:rsidR="002F24D9">
        <w:t xml:space="preserve">from across the </w:t>
      </w:r>
      <w:r w:rsidR="00446B05" w:rsidRPr="00262415">
        <w:t xml:space="preserve">Group’s core </w:t>
      </w:r>
      <w:r w:rsidR="00C53838">
        <w:t>investment platforms and activities.</w:t>
      </w:r>
      <w:r w:rsidR="00446B05">
        <w:t xml:space="preserve"> </w:t>
      </w:r>
      <w:r w:rsidR="002E2478" w:rsidRPr="00262415">
        <w:rPr>
          <w:lang w:val="en-US"/>
        </w:rPr>
        <w:t xml:space="preserve">Consolidated net profit for the </w:t>
      </w:r>
      <w:r w:rsidR="002E2478">
        <w:rPr>
          <w:lang w:val="en-US"/>
        </w:rPr>
        <w:t>nine</w:t>
      </w:r>
      <w:r w:rsidR="002E2478" w:rsidRPr="00262415">
        <w:rPr>
          <w:lang w:val="en-US"/>
        </w:rPr>
        <w:t xml:space="preserve">-month period increased </w:t>
      </w:r>
      <w:r w:rsidR="003E758D">
        <w:rPr>
          <w:lang w:val="en-US"/>
        </w:rPr>
        <w:t>125.27</w:t>
      </w:r>
      <w:r w:rsidR="002E2478" w:rsidRPr="00262415">
        <w:rPr>
          <w:lang w:val="en-US"/>
        </w:rPr>
        <w:t>% to US$</w:t>
      </w:r>
      <w:r w:rsidR="002F24D9">
        <w:rPr>
          <w:lang w:val="en-US"/>
        </w:rPr>
        <w:t>68</w:t>
      </w:r>
      <w:r w:rsidR="002E2478" w:rsidRPr="00262415">
        <w:rPr>
          <w:lang w:val="en-US"/>
        </w:rPr>
        <w:t>.</w:t>
      </w:r>
      <w:r w:rsidR="002F24D9">
        <w:rPr>
          <w:lang w:val="en-US"/>
        </w:rPr>
        <w:t>28</w:t>
      </w:r>
      <w:r w:rsidR="002E2478" w:rsidRPr="00262415">
        <w:rPr>
          <w:lang w:val="en-US"/>
        </w:rPr>
        <w:t xml:space="preserve"> million compared with US$</w:t>
      </w:r>
      <w:r w:rsidR="002F24D9">
        <w:rPr>
          <w:lang w:val="en-US"/>
        </w:rPr>
        <w:t>30.31</w:t>
      </w:r>
      <w:r w:rsidR="002E2478" w:rsidRPr="00262415">
        <w:rPr>
          <w:lang w:val="en-US"/>
        </w:rPr>
        <w:t xml:space="preserve"> million in the first </w:t>
      </w:r>
      <w:r w:rsidR="002E2478">
        <w:rPr>
          <w:lang w:val="en-US"/>
        </w:rPr>
        <w:t>nine</w:t>
      </w:r>
      <w:r w:rsidR="002E2478" w:rsidRPr="00262415">
        <w:rPr>
          <w:lang w:val="en-US"/>
        </w:rPr>
        <w:t xml:space="preserve"> months of 2020.</w:t>
      </w:r>
      <w:r w:rsidR="002E2478">
        <w:rPr>
          <w:lang w:val="en-US"/>
        </w:rPr>
        <w:t xml:space="preserve"> </w:t>
      </w:r>
      <w:r w:rsidR="002E2478" w:rsidRPr="00262415">
        <w:rPr>
          <w:lang w:val="en-US"/>
        </w:rPr>
        <w:t>Total Expenses for the period were US$</w:t>
      </w:r>
      <w:r w:rsidR="008C5510">
        <w:rPr>
          <w:lang w:val="en-US"/>
        </w:rPr>
        <w:t>202.33</w:t>
      </w:r>
      <w:r w:rsidR="002E2478" w:rsidRPr="00262415">
        <w:rPr>
          <w:lang w:val="en-US"/>
        </w:rPr>
        <w:t xml:space="preserve"> million up </w:t>
      </w:r>
      <w:r w:rsidR="003E758D">
        <w:rPr>
          <w:lang w:val="en-US"/>
        </w:rPr>
        <w:t>10.08</w:t>
      </w:r>
      <w:r w:rsidR="002E2478" w:rsidRPr="00262415">
        <w:rPr>
          <w:lang w:val="en-US"/>
        </w:rPr>
        <w:t>% from US$</w:t>
      </w:r>
      <w:r w:rsidR="008C5510">
        <w:rPr>
          <w:lang w:val="en-US"/>
        </w:rPr>
        <w:t>183</w:t>
      </w:r>
      <w:r w:rsidR="002E2478" w:rsidRPr="00262415">
        <w:rPr>
          <w:lang w:val="en-US"/>
        </w:rPr>
        <w:t>.</w:t>
      </w:r>
      <w:r w:rsidR="008C5510">
        <w:rPr>
          <w:lang w:val="en-US"/>
        </w:rPr>
        <w:t>79</w:t>
      </w:r>
      <w:r w:rsidR="002E2478" w:rsidRPr="00262415">
        <w:rPr>
          <w:lang w:val="en-US"/>
        </w:rPr>
        <w:t xml:space="preserve"> million for the first </w:t>
      </w:r>
      <w:r w:rsidR="002E2478">
        <w:rPr>
          <w:lang w:val="en-US"/>
        </w:rPr>
        <w:t xml:space="preserve">nine </w:t>
      </w:r>
      <w:r w:rsidR="002E2478" w:rsidRPr="00262415">
        <w:rPr>
          <w:lang w:val="en-US"/>
        </w:rPr>
        <w:t>months of 2020.</w:t>
      </w:r>
    </w:p>
    <w:p w14:paraId="141DA588" w14:textId="77777777" w:rsidR="00955887" w:rsidRDefault="00446B05" w:rsidP="006C7AC4">
      <w:pPr>
        <w:jc w:val="both"/>
        <w:rPr>
          <w:lang w:val="en-US"/>
        </w:rPr>
      </w:pPr>
      <w:r w:rsidRPr="00262415">
        <w:rPr>
          <w:lang w:val="en-US"/>
        </w:rPr>
        <w:t>Total equity attributable to shareholders was US$0.9</w:t>
      </w:r>
      <w:r w:rsidR="002E2478">
        <w:rPr>
          <w:lang w:val="en-US"/>
        </w:rPr>
        <w:t>5</w:t>
      </w:r>
      <w:r w:rsidRPr="00262415">
        <w:rPr>
          <w:lang w:val="en-US"/>
        </w:rPr>
        <w:t xml:space="preserve"> billion at 30 </w:t>
      </w:r>
      <w:r w:rsidR="002E2478">
        <w:rPr>
          <w:lang w:val="en-US"/>
        </w:rPr>
        <w:t>September</w:t>
      </w:r>
      <w:r w:rsidRPr="00262415">
        <w:rPr>
          <w:lang w:val="en-US"/>
        </w:rPr>
        <w:t xml:space="preserve"> </w:t>
      </w:r>
      <w:r w:rsidR="003E758D" w:rsidRPr="00262415">
        <w:rPr>
          <w:lang w:val="en-US"/>
        </w:rPr>
        <w:t>202</w:t>
      </w:r>
      <w:r w:rsidR="003E758D">
        <w:rPr>
          <w:lang w:val="en-US"/>
        </w:rPr>
        <w:t>1</w:t>
      </w:r>
      <w:r w:rsidR="003E758D" w:rsidRPr="00262415">
        <w:rPr>
          <w:lang w:val="en-US"/>
        </w:rPr>
        <w:t xml:space="preserve"> </w:t>
      </w:r>
      <w:r w:rsidRPr="00262415">
        <w:rPr>
          <w:lang w:val="en-US"/>
        </w:rPr>
        <w:t xml:space="preserve">up </w:t>
      </w:r>
      <w:r w:rsidR="003E758D">
        <w:rPr>
          <w:lang w:val="en-US"/>
        </w:rPr>
        <w:t>3.61</w:t>
      </w:r>
      <w:r w:rsidRPr="00262415">
        <w:rPr>
          <w:lang w:val="en-US"/>
        </w:rPr>
        <w:t xml:space="preserve">% from US$0.91 billion at year-end 2020. Total assets of the Group </w:t>
      </w:r>
      <w:r w:rsidR="00C53838">
        <w:rPr>
          <w:lang w:val="en-US"/>
        </w:rPr>
        <w:t>continued to grow reaching</w:t>
      </w:r>
      <w:r w:rsidRPr="00262415">
        <w:rPr>
          <w:lang w:val="en-US"/>
        </w:rPr>
        <w:t xml:space="preserve"> US$7.</w:t>
      </w:r>
      <w:r w:rsidR="00C53838">
        <w:rPr>
          <w:lang w:val="en-US"/>
        </w:rPr>
        <w:t>42</w:t>
      </w:r>
      <w:r w:rsidRPr="00262415">
        <w:rPr>
          <w:lang w:val="en-US"/>
        </w:rPr>
        <w:t xml:space="preserve"> billion at 30 </w:t>
      </w:r>
      <w:r w:rsidR="00C53838">
        <w:rPr>
          <w:lang w:val="en-US"/>
        </w:rPr>
        <w:t>September</w:t>
      </w:r>
      <w:r w:rsidRPr="00262415">
        <w:rPr>
          <w:lang w:val="en-US"/>
        </w:rPr>
        <w:t xml:space="preserve"> 2021 compared with US$6.59 billion at 31 December 2020, an increase of </w:t>
      </w:r>
      <w:r w:rsidR="003E758D">
        <w:rPr>
          <w:lang w:val="en-US"/>
        </w:rPr>
        <w:t>12.59</w:t>
      </w:r>
      <w:r w:rsidRPr="00262415">
        <w:rPr>
          <w:lang w:val="en-US"/>
        </w:rPr>
        <w:t>%.</w:t>
      </w:r>
      <w:r>
        <w:rPr>
          <w:lang w:val="en-US"/>
        </w:rPr>
        <w:t xml:space="preserve"> </w:t>
      </w:r>
    </w:p>
    <w:p w14:paraId="5064079B" w14:textId="77777777" w:rsidR="00F42148" w:rsidRDefault="00F42148" w:rsidP="00955887">
      <w:pPr>
        <w:pStyle w:val="Body"/>
        <w:jc w:val="both"/>
        <w:rPr>
          <w:color w:val="auto"/>
          <w:lang w:val="en-US"/>
        </w:rPr>
      </w:pPr>
    </w:p>
    <w:p w14:paraId="28849DCD" w14:textId="77777777" w:rsidR="00955887" w:rsidRPr="00F42148" w:rsidRDefault="00955887" w:rsidP="00955887">
      <w:pPr>
        <w:pStyle w:val="Body"/>
        <w:jc w:val="both"/>
        <w:rPr>
          <w:color w:val="auto"/>
          <w:lang w:val="en-US"/>
        </w:rPr>
      </w:pPr>
      <w:r w:rsidRPr="00AB2B36">
        <w:rPr>
          <w:color w:val="auto"/>
          <w:lang w:val="en-US"/>
        </w:rPr>
        <w:lastRenderedPageBreak/>
        <w:t xml:space="preserve">Commenting, Mr. </w:t>
      </w:r>
      <w:proofErr w:type="spellStart"/>
      <w:r w:rsidRPr="00AB2B36">
        <w:rPr>
          <w:color w:val="auto"/>
          <w:lang w:val="en-US"/>
        </w:rPr>
        <w:t>Jassim</w:t>
      </w:r>
      <w:proofErr w:type="spellEnd"/>
      <w:r w:rsidRPr="00AB2B36">
        <w:rPr>
          <w:color w:val="auto"/>
          <w:lang w:val="en-US"/>
        </w:rPr>
        <w:t xml:space="preserve"> </w:t>
      </w:r>
      <w:proofErr w:type="spellStart"/>
      <w:r w:rsidRPr="00AB2B36">
        <w:rPr>
          <w:color w:val="auto"/>
          <w:lang w:val="en-US"/>
        </w:rPr>
        <w:t>Alseddiqi</w:t>
      </w:r>
      <w:proofErr w:type="spellEnd"/>
      <w:r w:rsidRPr="00AB2B36">
        <w:rPr>
          <w:color w:val="auto"/>
          <w:lang w:val="en-US"/>
        </w:rPr>
        <w:t>,</w:t>
      </w:r>
      <w:r w:rsidRPr="00AB2B36">
        <w:rPr>
          <w:rFonts w:ascii="Arial" w:hAnsi="Arial" w:cs="Arial"/>
          <w:color w:val="auto"/>
          <w:lang w:val="en-US"/>
        </w:rPr>
        <w:t xml:space="preserve"> </w:t>
      </w:r>
      <w:r w:rsidRPr="00AB2B36">
        <w:rPr>
          <w:color w:val="auto"/>
          <w:lang w:val="en-US"/>
        </w:rPr>
        <w:t>Chairman of GFH, said, “</w:t>
      </w:r>
      <w:r w:rsidR="00C740AB">
        <w:rPr>
          <w:color w:val="auto"/>
          <w:lang w:val="en-US"/>
        </w:rPr>
        <w:t>The</w:t>
      </w:r>
      <w:r w:rsidRPr="00AB2B36">
        <w:rPr>
          <w:color w:val="auto"/>
          <w:lang w:val="en-US"/>
        </w:rPr>
        <w:t xml:space="preserve"> first </w:t>
      </w:r>
      <w:r w:rsidR="00C740AB">
        <w:rPr>
          <w:color w:val="auto"/>
          <w:lang w:val="en-US"/>
        </w:rPr>
        <w:t xml:space="preserve">nine months of 2021 have been marked </w:t>
      </w:r>
      <w:r w:rsidR="00F42148">
        <w:rPr>
          <w:color w:val="auto"/>
          <w:lang w:val="en-US"/>
        </w:rPr>
        <w:t>by</w:t>
      </w:r>
      <w:r w:rsidR="00C740AB">
        <w:rPr>
          <w:color w:val="auto"/>
          <w:lang w:val="en-US"/>
        </w:rPr>
        <w:t xml:space="preserve"> </w:t>
      </w:r>
      <w:r w:rsidR="00B76E2A">
        <w:rPr>
          <w:color w:val="auto"/>
          <w:lang w:val="en-US"/>
        </w:rPr>
        <w:t>substantial growth in income and profits</w:t>
      </w:r>
      <w:r w:rsidR="004E6A71">
        <w:rPr>
          <w:color w:val="auto"/>
          <w:lang w:val="en-US"/>
        </w:rPr>
        <w:t xml:space="preserve"> delivered by the Group</w:t>
      </w:r>
      <w:r w:rsidR="00C740AB">
        <w:rPr>
          <w:color w:val="auto"/>
          <w:lang w:val="en-US"/>
        </w:rPr>
        <w:t>. We’re extremely pleased with these results and</w:t>
      </w:r>
      <w:r w:rsidR="004E6A71">
        <w:rPr>
          <w:color w:val="auto"/>
          <w:lang w:val="en-US"/>
        </w:rPr>
        <w:t xml:space="preserve"> GFH’s </w:t>
      </w:r>
      <w:r w:rsidR="00C740AB">
        <w:rPr>
          <w:color w:val="auto"/>
          <w:lang w:val="en-US"/>
        </w:rPr>
        <w:t xml:space="preserve">continued ability to </w:t>
      </w:r>
      <w:r w:rsidR="00AB6162">
        <w:rPr>
          <w:color w:val="auto"/>
          <w:lang w:val="en-US"/>
        </w:rPr>
        <w:t>deliver across its</w:t>
      </w:r>
      <w:r w:rsidR="00C740AB">
        <w:rPr>
          <w:color w:val="auto"/>
          <w:lang w:val="en-US"/>
        </w:rPr>
        <w:t xml:space="preserve"> diversified lines</w:t>
      </w:r>
      <w:r w:rsidR="00F42148">
        <w:rPr>
          <w:color w:val="auto"/>
          <w:lang w:val="en-US"/>
        </w:rPr>
        <w:t xml:space="preserve"> of business</w:t>
      </w:r>
      <w:r w:rsidR="00C740AB">
        <w:rPr>
          <w:color w:val="auto"/>
          <w:lang w:val="en-US"/>
        </w:rPr>
        <w:t xml:space="preserve"> and </w:t>
      </w:r>
      <w:r w:rsidR="00F42148">
        <w:rPr>
          <w:color w:val="auto"/>
          <w:lang w:val="en-US"/>
        </w:rPr>
        <w:t>geographies</w:t>
      </w:r>
      <w:r w:rsidR="00C740AB">
        <w:rPr>
          <w:color w:val="auto"/>
          <w:lang w:val="en-US"/>
        </w:rPr>
        <w:t xml:space="preserve"> </w:t>
      </w:r>
      <w:r w:rsidR="00AB6162">
        <w:rPr>
          <w:color w:val="auto"/>
          <w:lang w:val="en-US"/>
        </w:rPr>
        <w:t xml:space="preserve">where we </w:t>
      </w:r>
      <w:r w:rsidR="00C740AB">
        <w:rPr>
          <w:color w:val="auto"/>
          <w:lang w:val="en-US"/>
        </w:rPr>
        <w:t xml:space="preserve">invest. While </w:t>
      </w:r>
      <w:r w:rsidR="00B76E2A">
        <w:rPr>
          <w:color w:val="auto"/>
          <w:lang w:val="en-US"/>
        </w:rPr>
        <w:t>globally we are still</w:t>
      </w:r>
      <w:r w:rsidR="00C740AB">
        <w:rPr>
          <w:color w:val="auto"/>
          <w:lang w:val="en-US"/>
        </w:rPr>
        <w:t xml:space="preserve"> feel</w:t>
      </w:r>
      <w:r w:rsidR="00B76E2A">
        <w:rPr>
          <w:color w:val="auto"/>
          <w:lang w:val="en-US"/>
        </w:rPr>
        <w:t>ing</w:t>
      </w:r>
      <w:r w:rsidR="00C740AB">
        <w:rPr>
          <w:color w:val="auto"/>
          <w:lang w:val="en-US"/>
        </w:rPr>
        <w:t xml:space="preserve"> the effects of the pandemic, our performance for the period underscores the robust nature of our strategy and the </w:t>
      </w:r>
      <w:r w:rsidR="00F42148">
        <w:rPr>
          <w:color w:val="auto"/>
          <w:lang w:val="en-US"/>
        </w:rPr>
        <w:t xml:space="preserve">important </w:t>
      </w:r>
      <w:r w:rsidR="00C740AB">
        <w:rPr>
          <w:color w:val="auto"/>
          <w:lang w:val="en-US"/>
        </w:rPr>
        <w:t>position</w:t>
      </w:r>
      <w:r w:rsidR="00F42148">
        <w:rPr>
          <w:color w:val="auto"/>
          <w:lang w:val="en-US"/>
        </w:rPr>
        <w:t>s</w:t>
      </w:r>
      <w:r w:rsidR="00C740AB">
        <w:rPr>
          <w:color w:val="auto"/>
          <w:lang w:val="en-US"/>
        </w:rPr>
        <w:t xml:space="preserve"> we have built in </w:t>
      </w:r>
      <w:r w:rsidR="00B76E2A">
        <w:rPr>
          <w:color w:val="auto"/>
          <w:lang w:val="en-US"/>
        </w:rPr>
        <w:t xml:space="preserve">resilient and </w:t>
      </w:r>
      <w:r w:rsidR="00C740AB">
        <w:rPr>
          <w:color w:val="auto"/>
          <w:lang w:val="en-US"/>
        </w:rPr>
        <w:t>defensive</w:t>
      </w:r>
      <w:r w:rsidR="00F42148">
        <w:rPr>
          <w:color w:val="auto"/>
          <w:lang w:val="en-US"/>
        </w:rPr>
        <w:t xml:space="preserve"> sectors</w:t>
      </w:r>
      <w:r w:rsidR="00B76E2A">
        <w:rPr>
          <w:color w:val="auto"/>
          <w:lang w:val="en-US"/>
        </w:rPr>
        <w:t xml:space="preserve"> and businesses around the world</w:t>
      </w:r>
      <w:r w:rsidR="00C740AB">
        <w:rPr>
          <w:color w:val="auto"/>
          <w:lang w:val="en-US"/>
        </w:rPr>
        <w:t xml:space="preserve">.  </w:t>
      </w:r>
      <w:r w:rsidRPr="00AB2B36">
        <w:rPr>
          <w:color w:val="auto"/>
          <w:lang w:val="en-US"/>
        </w:rPr>
        <w:t xml:space="preserve">During the period, we </w:t>
      </w:r>
      <w:r w:rsidR="000A0939" w:rsidRPr="00AB2B36">
        <w:rPr>
          <w:color w:val="auto"/>
          <w:lang w:val="en-US"/>
        </w:rPr>
        <w:t xml:space="preserve">continued to </w:t>
      </w:r>
      <w:r w:rsidR="00C740AB">
        <w:rPr>
          <w:color w:val="auto"/>
          <w:lang w:val="en-US"/>
        </w:rPr>
        <w:t>expand our presence in the global logistics real estate sector, bring</w:t>
      </w:r>
      <w:r w:rsidR="00F42148">
        <w:rPr>
          <w:color w:val="auto"/>
          <w:lang w:val="en-US"/>
        </w:rPr>
        <w:t>ing</w:t>
      </w:r>
      <w:r w:rsidR="00C740AB">
        <w:rPr>
          <w:color w:val="auto"/>
          <w:lang w:val="en-US"/>
        </w:rPr>
        <w:t xml:space="preserve"> new and exciting deals to our investors and generating stron</w:t>
      </w:r>
      <w:r w:rsidR="00F42148">
        <w:rPr>
          <w:color w:val="auto"/>
          <w:lang w:val="en-US"/>
        </w:rPr>
        <w:t>g</w:t>
      </w:r>
      <w:r w:rsidR="00C740AB">
        <w:rPr>
          <w:color w:val="auto"/>
          <w:lang w:val="en-US"/>
        </w:rPr>
        <w:t xml:space="preserve"> placement income. We also </w:t>
      </w:r>
      <w:r w:rsidR="00AB6162">
        <w:rPr>
          <w:color w:val="auto"/>
          <w:lang w:val="en-US"/>
        </w:rPr>
        <w:t xml:space="preserve">reported </w:t>
      </w:r>
      <w:r w:rsidR="00C740AB">
        <w:rPr>
          <w:color w:val="auto"/>
          <w:lang w:val="en-US"/>
        </w:rPr>
        <w:t xml:space="preserve">enhanced contributions from our </w:t>
      </w:r>
      <w:r w:rsidR="00F42148">
        <w:rPr>
          <w:color w:val="auto"/>
          <w:lang w:val="en-US"/>
        </w:rPr>
        <w:t xml:space="preserve">recently </w:t>
      </w:r>
      <w:r w:rsidR="00AB6162">
        <w:rPr>
          <w:color w:val="auto"/>
          <w:lang w:val="en-US"/>
        </w:rPr>
        <w:t xml:space="preserve">restructured </w:t>
      </w:r>
      <w:r w:rsidRPr="00AB2B36">
        <w:rPr>
          <w:color w:val="auto"/>
          <w:lang w:val="en-US"/>
        </w:rPr>
        <w:t xml:space="preserve">commercial banking </w:t>
      </w:r>
      <w:r w:rsidR="00AB6162">
        <w:rPr>
          <w:color w:val="auto"/>
          <w:lang w:val="en-US"/>
        </w:rPr>
        <w:t>business</w:t>
      </w:r>
      <w:r w:rsidRPr="00AB2B36">
        <w:rPr>
          <w:color w:val="auto"/>
          <w:lang w:val="en-US"/>
        </w:rPr>
        <w:t xml:space="preserve"> </w:t>
      </w:r>
      <w:r w:rsidR="00C740AB">
        <w:rPr>
          <w:color w:val="auto"/>
          <w:lang w:val="en-US"/>
        </w:rPr>
        <w:t xml:space="preserve">alongside </w:t>
      </w:r>
      <w:r w:rsidR="00AB6162">
        <w:rPr>
          <w:color w:val="auto"/>
          <w:lang w:val="en-US"/>
        </w:rPr>
        <w:t>further</w:t>
      </w:r>
      <w:r w:rsidR="00C740AB">
        <w:rPr>
          <w:color w:val="auto"/>
          <w:lang w:val="en-US"/>
        </w:rPr>
        <w:t xml:space="preserve"> growth in</w:t>
      </w:r>
      <w:r w:rsidRPr="00AB2B36">
        <w:rPr>
          <w:color w:val="auto"/>
          <w:lang w:val="en-US"/>
        </w:rPr>
        <w:t xml:space="preserve"> our treasury business</w:t>
      </w:r>
      <w:r w:rsidR="00C740AB">
        <w:rPr>
          <w:color w:val="auto"/>
          <w:lang w:val="en-US"/>
        </w:rPr>
        <w:t xml:space="preserve"> and improvements in real estate activities and income</w:t>
      </w:r>
      <w:r w:rsidRPr="00AB2B36">
        <w:rPr>
          <w:color w:val="auto"/>
          <w:lang w:val="en-US"/>
        </w:rPr>
        <w:t xml:space="preserve">. </w:t>
      </w:r>
      <w:r w:rsidR="00AB6162">
        <w:rPr>
          <w:color w:val="auto"/>
          <w:lang w:val="en-US"/>
        </w:rPr>
        <w:t>GFH</w:t>
      </w:r>
      <w:r w:rsidR="00C740AB">
        <w:rPr>
          <w:color w:val="auto"/>
          <w:lang w:val="en-US"/>
        </w:rPr>
        <w:t xml:space="preserve"> </w:t>
      </w:r>
      <w:r w:rsidR="00AB6162">
        <w:rPr>
          <w:color w:val="auto"/>
          <w:lang w:val="en-US"/>
        </w:rPr>
        <w:t xml:space="preserve">has </w:t>
      </w:r>
      <w:r w:rsidR="00C740AB">
        <w:rPr>
          <w:color w:val="auto"/>
          <w:lang w:val="en-US"/>
        </w:rPr>
        <w:t xml:space="preserve">entered the fourth quarter with strong momentum and </w:t>
      </w:r>
      <w:r w:rsidR="00F42148">
        <w:rPr>
          <w:color w:val="auto"/>
          <w:lang w:val="en-US"/>
        </w:rPr>
        <w:t xml:space="preserve">a </w:t>
      </w:r>
      <w:r w:rsidR="00C740AB">
        <w:rPr>
          <w:color w:val="auto"/>
          <w:lang w:val="en-US"/>
        </w:rPr>
        <w:t xml:space="preserve">pipeline of opportunities </w:t>
      </w:r>
      <w:r w:rsidR="00D04919">
        <w:rPr>
          <w:color w:val="auto"/>
          <w:lang w:val="en-US"/>
        </w:rPr>
        <w:t>to enable us to achieve</w:t>
      </w:r>
      <w:r w:rsidR="00AB6162">
        <w:rPr>
          <w:color w:val="auto"/>
          <w:lang w:val="en-US"/>
        </w:rPr>
        <w:t xml:space="preserve"> </w:t>
      </w:r>
      <w:r w:rsidR="00D04919">
        <w:rPr>
          <w:color w:val="auto"/>
          <w:lang w:val="en-US"/>
        </w:rPr>
        <w:t xml:space="preserve">further </w:t>
      </w:r>
      <w:r w:rsidR="00C740AB">
        <w:rPr>
          <w:color w:val="auto"/>
          <w:lang w:val="en-US"/>
        </w:rPr>
        <w:t>growth</w:t>
      </w:r>
      <w:r w:rsidR="00F42148">
        <w:rPr>
          <w:color w:val="auto"/>
          <w:lang w:val="en-US"/>
        </w:rPr>
        <w:t xml:space="preserve"> and profitability</w:t>
      </w:r>
      <w:r w:rsidR="00B76E2A">
        <w:rPr>
          <w:color w:val="auto"/>
          <w:lang w:val="en-US"/>
        </w:rPr>
        <w:t xml:space="preserve"> for the remainder of the year and beyond</w:t>
      </w:r>
      <w:r w:rsidR="00C740AB">
        <w:rPr>
          <w:color w:val="auto"/>
          <w:lang w:val="en-US"/>
        </w:rPr>
        <w:t>.”</w:t>
      </w:r>
    </w:p>
    <w:p w14:paraId="02A688CF" w14:textId="77777777" w:rsidR="00366541" w:rsidRPr="00AB2B36" w:rsidRDefault="00955887" w:rsidP="007A7C8C">
      <w:pPr>
        <w:pStyle w:val="BodyAA"/>
        <w:jc w:val="both"/>
      </w:pPr>
      <w:bookmarkStart w:id="0" w:name="_Hlk71119342"/>
      <w:r w:rsidRPr="00AB2B36">
        <w:t xml:space="preserve">Mr. Hisham Alrayes, </w:t>
      </w:r>
      <w:bookmarkEnd w:id="0"/>
      <w:r w:rsidRPr="00AB2B36">
        <w:t>CEO of GFH, added, “</w:t>
      </w:r>
      <w:r w:rsidR="00AB6162">
        <w:t xml:space="preserve">We’re pleased with our </w:t>
      </w:r>
      <w:r w:rsidR="00D04919">
        <w:t>performance</w:t>
      </w:r>
      <w:r w:rsidR="000A0939" w:rsidRPr="00AB2B36">
        <w:t xml:space="preserve"> for the </w:t>
      </w:r>
      <w:r w:rsidR="00AB6162">
        <w:t>third</w:t>
      </w:r>
      <w:r w:rsidR="000A0939" w:rsidRPr="00AB2B36">
        <w:t xml:space="preserve"> quarter and first </w:t>
      </w:r>
      <w:r w:rsidR="00D04919">
        <w:t xml:space="preserve">nine months </w:t>
      </w:r>
      <w:r w:rsidR="000A0939" w:rsidRPr="00AB2B36">
        <w:t>of the year</w:t>
      </w:r>
      <w:r w:rsidR="00D04919">
        <w:t xml:space="preserve">. </w:t>
      </w:r>
      <w:r w:rsidR="00030AB3">
        <w:t>Solid increases</w:t>
      </w:r>
      <w:r w:rsidR="00D04919">
        <w:t xml:space="preserve"> in income and profits reflect </w:t>
      </w:r>
      <w:r w:rsidR="006C102F">
        <w:t>a well-</w:t>
      </w:r>
      <w:r w:rsidR="00D04919">
        <w:t>diversified business mode</w:t>
      </w:r>
      <w:r w:rsidR="00030AB3">
        <w:t xml:space="preserve">, effective management of our investments and </w:t>
      </w:r>
      <w:r w:rsidR="00D04919">
        <w:t>steady income generation</w:t>
      </w:r>
      <w:r w:rsidR="00030AB3">
        <w:t xml:space="preserve"> capabilities</w:t>
      </w:r>
      <w:r w:rsidR="00B76E2A">
        <w:t>, which has been a key objective for the Group</w:t>
      </w:r>
      <w:r w:rsidR="006C102F">
        <w:t>.</w:t>
      </w:r>
      <w:r w:rsidR="00D04919">
        <w:t xml:space="preserve"> </w:t>
      </w:r>
      <w:r w:rsidR="006C102F">
        <w:t>During the quarter, we benefited from the sale of Sukuk as well as str</w:t>
      </w:r>
      <w:r w:rsidR="00030AB3">
        <w:t xml:space="preserve">ong </w:t>
      </w:r>
      <w:r w:rsidR="006C102F">
        <w:t xml:space="preserve">demand from our investors for </w:t>
      </w:r>
      <w:r w:rsidR="00030AB3">
        <w:t>deals</w:t>
      </w:r>
      <w:r w:rsidR="006C102F">
        <w:t xml:space="preserve"> we have closed in the US real estate market in </w:t>
      </w:r>
      <w:r w:rsidR="00030AB3">
        <w:t>well</w:t>
      </w:r>
      <w:r w:rsidR="006C102F">
        <w:t xml:space="preserve"> performing segments such as logistics and residential. We </w:t>
      </w:r>
      <w:r w:rsidR="003839B8">
        <w:t xml:space="preserve">have </w:t>
      </w:r>
      <w:r w:rsidR="00030AB3">
        <w:t>also made gains from improving performance in our commercial banking activities</w:t>
      </w:r>
      <w:r w:rsidR="003839B8">
        <w:t>,</w:t>
      </w:r>
      <w:r w:rsidR="00030AB3">
        <w:t xml:space="preserve"> where we have expanded our stake in KHCB and are looking at opportunities to further grow our presence and contributions in this area. </w:t>
      </w:r>
      <w:r w:rsidR="00B76E2A">
        <w:t>As we go forward, g</w:t>
      </w:r>
      <w:r w:rsidR="00030AB3">
        <w:t xml:space="preserve">rowth remains </w:t>
      </w:r>
      <w:r w:rsidR="00B76E2A">
        <w:t>a</w:t>
      </w:r>
      <w:r w:rsidR="00030AB3">
        <w:t xml:space="preserve"> centr</w:t>
      </w:r>
      <w:r w:rsidR="00B76E2A">
        <w:t>al theme</w:t>
      </w:r>
      <w:r w:rsidR="00030AB3">
        <w:t xml:space="preserve"> for GFH, in all areas of our business, an</w:t>
      </w:r>
      <w:r w:rsidR="00B76E2A">
        <w:t xml:space="preserve">d </w:t>
      </w:r>
      <w:r w:rsidR="00030AB3">
        <w:t xml:space="preserve">we have entered the final months of the year with a </w:t>
      </w:r>
      <w:r w:rsidR="00B76E2A">
        <w:t>sharp</w:t>
      </w:r>
      <w:r w:rsidR="00030AB3">
        <w:t xml:space="preserve"> focus on investments and </w:t>
      </w:r>
      <w:r w:rsidR="00B76E2A">
        <w:t>relationships</w:t>
      </w:r>
      <w:r w:rsidR="00030AB3">
        <w:t xml:space="preserve"> that will allow us to </w:t>
      </w:r>
      <w:r w:rsidR="00B76E2A">
        <w:t xml:space="preserve">accelerate growth in our portfolios in key sectors including logistics, technology and education, among others. We look forward to announcing further strategic transactions and new partnerships with a view towards </w:t>
      </w:r>
      <w:r w:rsidR="00030AB3">
        <w:t>creat</w:t>
      </w:r>
      <w:r w:rsidR="00B76E2A">
        <w:t>ing</w:t>
      </w:r>
      <w:r w:rsidR="00030AB3">
        <w:t xml:space="preserve"> even greater value for our investors and shareholders.”</w:t>
      </w:r>
    </w:p>
    <w:p w14:paraId="49DB1DAD" w14:textId="77777777" w:rsidR="00B149C7" w:rsidRPr="00AB2B36" w:rsidRDefault="000F77CF" w:rsidP="00127CA1">
      <w:pPr>
        <w:jc w:val="both"/>
      </w:pPr>
      <w:r w:rsidRPr="00DB73DA">
        <w:t xml:space="preserve">The Group’s financial results in full can be found at </w:t>
      </w:r>
      <w:hyperlink r:id="rId8" w:history="1">
        <w:r w:rsidRPr="00DB73DA">
          <w:rPr>
            <w:rStyle w:val="Hyperlink"/>
          </w:rPr>
          <w:t>https://www.bahrainbourse.com/</w:t>
        </w:r>
      </w:hyperlink>
      <w:r w:rsidRPr="00DB73DA">
        <w:t xml:space="preserve"> </w:t>
      </w:r>
      <w:r w:rsidR="00AC709F" w:rsidRPr="00DB73DA">
        <w:t xml:space="preserve">. Shares of GFH are traded </w:t>
      </w:r>
      <w:r w:rsidR="00B149C7" w:rsidRPr="00DB73DA">
        <w:t xml:space="preserve">under the ticker “GFH” </w:t>
      </w:r>
      <w:r w:rsidR="00AC709F" w:rsidRPr="00DB73DA">
        <w:t>on the Bahrain Bou</w:t>
      </w:r>
      <w:r w:rsidR="001A7443" w:rsidRPr="00DB73DA">
        <w:t>r</w:t>
      </w:r>
      <w:r w:rsidR="00AC709F" w:rsidRPr="00DB73DA">
        <w:t>se</w:t>
      </w:r>
      <w:r w:rsidR="00B149C7" w:rsidRPr="00DB73DA">
        <w:t xml:space="preserve">, </w:t>
      </w:r>
      <w:proofErr w:type="spellStart"/>
      <w:r w:rsidR="00B149C7" w:rsidRPr="00DB73DA">
        <w:t>Boursa</w:t>
      </w:r>
      <w:proofErr w:type="spellEnd"/>
      <w:r w:rsidR="00B149C7" w:rsidRPr="00DB73DA">
        <w:t xml:space="preserve"> Kuwait and Dubai Financial Market.</w:t>
      </w:r>
      <w:r w:rsidR="00B149C7" w:rsidRPr="00AB2B36">
        <w:t xml:space="preserve"> </w:t>
      </w:r>
      <w:r w:rsidR="00AC709F" w:rsidRPr="00AB2B36">
        <w:t xml:space="preserve"> </w:t>
      </w:r>
    </w:p>
    <w:p w14:paraId="760E63B1" w14:textId="77777777" w:rsidR="005E3ABD" w:rsidRPr="00AB2B36" w:rsidRDefault="005E3ABD" w:rsidP="000F77CF"/>
    <w:p w14:paraId="21137916" w14:textId="77777777" w:rsidR="005E3ABD" w:rsidRDefault="00C615F6" w:rsidP="00F937B4">
      <w:pPr>
        <w:jc w:val="center"/>
        <w:rPr>
          <w:lang w:val="en-US"/>
        </w:rPr>
      </w:pPr>
      <w:r w:rsidRPr="00C615F6">
        <w:rPr>
          <w:b/>
          <w:bCs/>
        </w:rPr>
        <w:t>-</w:t>
      </w:r>
      <w:r w:rsidR="00B149C7" w:rsidRPr="00C615F6">
        <w:rPr>
          <w:b/>
          <w:bCs/>
        </w:rPr>
        <w:t>ENDS</w:t>
      </w:r>
      <w:r w:rsidRPr="00C615F6">
        <w:rPr>
          <w:b/>
          <w:bCs/>
        </w:rPr>
        <w:t>-</w:t>
      </w:r>
    </w:p>
    <w:p w14:paraId="0318F72B" w14:textId="77777777" w:rsidR="000F77CF" w:rsidRPr="003E5FB4" w:rsidRDefault="000F77CF" w:rsidP="000F77CF">
      <w:pPr>
        <w:pStyle w:val="Body"/>
        <w:spacing w:after="0" w:line="240" w:lineRule="auto"/>
        <w:rPr>
          <w:rFonts w:ascii="Times New Roman" w:eastAsia="Times New Roman" w:hAnsi="Times New Roman" w:cs="Times New Roman"/>
          <w:sz w:val="20"/>
          <w:szCs w:val="20"/>
        </w:rPr>
      </w:pPr>
      <w:r w:rsidRPr="003E5FB4">
        <w:rPr>
          <w:b/>
          <w:bCs/>
          <w:sz w:val="20"/>
          <w:szCs w:val="20"/>
          <w:lang w:val="en-US"/>
        </w:rPr>
        <w:t>About GFH Financial Group B.S.C.</w:t>
      </w:r>
    </w:p>
    <w:p w14:paraId="6FCEEC9B" w14:textId="77777777" w:rsidR="000F77CF" w:rsidRPr="003E5FB4" w:rsidRDefault="000F77CF" w:rsidP="00E93B69">
      <w:pPr>
        <w:pStyle w:val="Body"/>
        <w:spacing w:after="0" w:line="240" w:lineRule="auto"/>
        <w:jc w:val="both"/>
        <w:rPr>
          <w:sz w:val="20"/>
          <w:szCs w:val="20"/>
        </w:rPr>
      </w:pPr>
      <w:r w:rsidRPr="003E5FB4">
        <w:rPr>
          <w:sz w:val="20"/>
          <w:szCs w:val="20"/>
          <w:lang w:val="en-US"/>
        </w:rPr>
        <w:t xml:space="preserve">GFH is one of the most </w:t>
      </w:r>
      <w:proofErr w:type="spellStart"/>
      <w:r w:rsidRPr="003E5FB4">
        <w:rPr>
          <w:sz w:val="20"/>
          <w:szCs w:val="20"/>
          <w:lang w:val="en-US"/>
        </w:rPr>
        <w:t>recognised</w:t>
      </w:r>
      <w:proofErr w:type="spellEnd"/>
      <w:r w:rsidRPr="003E5FB4">
        <w:rPr>
          <w:sz w:val="20"/>
          <w:szCs w:val="20"/>
          <w:lang w:val="en-US"/>
        </w:rPr>
        <w:t xml:space="preserve"> financial groups in the Gulf region. Its businesses include Asset Management, Wealth Management, Commercial Banking and Real Estate Development. The Group’s operations are focused in the GCC, North Africa and India. GFH is listed in Bahrain Bourse, </w:t>
      </w:r>
      <w:proofErr w:type="spellStart"/>
      <w:r w:rsidR="00D23241">
        <w:rPr>
          <w:sz w:val="20"/>
          <w:szCs w:val="20"/>
          <w:lang w:val="en-US"/>
        </w:rPr>
        <w:t>Boursa</w:t>
      </w:r>
      <w:proofErr w:type="spellEnd"/>
      <w:r w:rsidR="00D23241">
        <w:rPr>
          <w:sz w:val="20"/>
          <w:szCs w:val="20"/>
          <w:lang w:val="en-US"/>
        </w:rPr>
        <w:t xml:space="preserve"> </w:t>
      </w:r>
      <w:r w:rsidRPr="003E5FB4">
        <w:rPr>
          <w:sz w:val="20"/>
          <w:szCs w:val="20"/>
          <w:lang w:val="en-US"/>
        </w:rPr>
        <w:t xml:space="preserve">Kuwait and Dubai Financial Market. For more information, please visit </w:t>
      </w:r>
      <w:r w:rsidRPr="003E5FB4">
        <w:rPr>
          <w:color w:val="333333"/>
          <w:sz w:val="20"/>
          <w:szCs w:val="20"/>
          <w:u w:color="333333"/>
        </w:rPr>
        <w:t xml:space="preserve">www.gfh.com   </w:t>
      </w:r>
      <w:r w:rsidRPr="003E5FB4">
        <w:rPr>
          <w:sz w:val="20"/>
          <w:szCs w:val="20"/>
        </w:rPr>
        <w:t xml:space="preserve"> </w:t>
      </w:r>
    </w:p>
    <w:p w14:paraId="7057FB28" w14:textId="77777777" w:rsidR="000F77CF" w:rsidRPr="003E5FB4" w:rsidRDefault="000F77CF" w:rsidP="000F77CF">
      <w:pPr>
        <w:pStyle w:val="Body"/>
        <w:spacing w:after="0" w:line="240" w:lineRule="auto"/>
        <w:jc w:val="both"/>
        <w:rPr>
          <w:sz w:val="20"/>
          <w:szCs w:val="20"/>
        </w:rPr>
      </w:pPr>
      <w:r w:rsidRPr="003E5FB4">
        <w:rPr>
          <w:sz w:val="20"/>
          <w:szCs w:val="20"/>
        </w:rPr>
        <w:t xml:space="preserve"> </w:t>
      </w:r>
    </w:p>
    <w:p w14:paraId="7A4B203E" w14:textId="77777777" w:rsidR="000F77CF" w:rsidRPr="003E5FB4" w:rsidRDefault="000F77CF" w:rsidP="000F77CF">
      <w:pPr>
        <w:pStyle w:val="Body"/>
        <w:spacing w:after="0" w:line="240" w:lineRule="auto"/>
        <w:rPr>
          <w:b/>
          <w:bCs/>
          <w:sz w:val="20"/>
          <w:szCs w:val="20"/>
        </w:rPr>
      </w:pPr>
      <w:r w:rsidRPr="003E5FB4">
        <w:rPr>
          <w:b/>
          <w:bCs/>
          <w:sz w:val="20"/>
          <w:szCs w:val="20"/>
        </w:rPr>
        <w:t>Media Contacts:</w:t>
      </w:r>
    </w:p>
    <w:p w14:paraId="2F20EE53" w14:textId="77777777" w:rsidR="000F77CF" w:rsidRPr="003E5FB4" w:rsidRDefault="000F77CF" w:rsidP="000F77CF">
      <w:pPr>
        <w:pStyle w:val="Body"/>
        <w:spacing w:after="0" w:line="240" w:lineRule="auto"/>
        <w:jc w:val="both"/>
        <w:rPr>
          <w:b/>
          <w:bCs/>
          <w:sz w:val="20"/>
          <w:szCs w:val="20"/>
        </w:rPr>
      </w:pPr>
      <w:r w:rsidRPr="003E5FB4">
        <w:rPr>
          <w:b/>
          <w:bCs/>
          <w:sz w:val="20"/>
          <w:szCs w:val="20"/>
          <w:lang w:val="en-US"/>
        </w:rPr>
        <w:t>FinMark Communications</w:t>
      </w:r>
    </w:p>
    <w:p w14:paraId="1D63AD1D" w14:textId="77777777" w:rsidR="000F77CF" w:rsidRPr="003E5FB4" w:rsidRDefault="000F77CF" w:rsidP="000F77CF">
      <w:pPr>
        <w:pStyle w:val="Body"/>
        <w:spacing w:after="0" w:line="240" w:lineRule="auto"/>
        <w:jc w:val="both"/>
        <w:rPr>
          <w:sz w:val="20"/>
          <w:szCs w:val="20"/>
        </w:rPr>
      </w:pPr>
      <w:r w:rsidRPr="003E5FB4">
        <w:rPr>
          <w:sz w:val="20"/>
          <w:szCs w:val="20"/>
        </w:rPr>
        <w:t>Zahraa Taher</w:t>
      </w:r>
    </w:p>
    <w:p w14:paraId="13F4E58A" w14:textId="77777777" w:rsidR="000F77CF" w:rsidRPr="003E5FB4" w:rsidRDefault="000F77CF" w:rsidP="000F77CF">
      <w:pPr>
        <w:pStyle w:val="Body"/>
        <w:spacing w:after="0" w:line="240" w:lineRule="auto"/>
        <w:jc w:val="both"/>
        <w:rPr>
          <w:sz w:val="20"/>
          <w:szCs w:val="20"/>
        </w:rPr>
      </w:pPr>
      <w:r w:rsidRPr="003E5FB4">
        <w:rPr>
          <w:sz w:val="20"/>
          <w:szCs w:val="20"/>
        </w:rPr>
        <w:t>Tel: +973 39630997</w:t>
      </w:r>
    </w:p>
    <w:p w14:paraId="351694DB" w14:textId="77777777" w:rsidR="00687AD2" w:rsidRPr="005E3ABD" w:rsidRDefault="000F77CF" w:rsidP="005E3ABD">
      <w:pPr>
        <w:pStyle w:val="Body"/>
        <w:spacing w:after="0" w:line="240" w:lineRule="auto"/>
        <w:jc w:val="both"/>
        <w:rPr>
          <w:sz w:val="20"/>
          <w:szCs w:val="20"/>
        </w:rPr>
      </w:pPr>
      <w:r w:rsidRPr="003E5FB4">
        <w:rPr>
          <w:sz w:val="20"/>
          <w:szCs w:val="20"/>
        </w:rPr>
        <w:t>Email: ztaher@finmarkcoms.com</w:t>
      </w:r>
    </w:p>
    <w:sectPr w:rsidR="00687AD2" w:rsidRPr="005E3ABD" w:rsidSect="00127CA1">
      <w:headerReference w:type="default" r:id="rId9"/>
      <w:pgSz w:w="12240" w:h="15840"/>
      <w:pgMar w:top="170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9E1E" w14:textId="77777777" w:rsidR="002E232E" w:rsidRDefault="002E232E" w:rsidP="000F77CF">
      <w:pPr>
        <w:spacing w:after="0" w:line="240" w:lineRule="auto"/>
      </w:pPr>
      <w:r>
        <w:separator/>
      </w:r>
    </w:p>
  </w:endnote>
  <w:endnote w:type="continuationSeparator" w:id="0">
    <w:p w14:paraId="140F8679" w14:textId="77777777" w:rsidR="002E232E" w:rsidRDefault="002E232E" w:rsidP="000F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3E15" w14:textId="77777777" w:rsidR="002E232E" w:rsidRDefault="002E232E" w:rsidP="000F77CF">
      <w:pPr>
        <w:spacing w:after="0" w:line="240" w:lineRule="auto"/>
      </w:pPr>
      <w:r>
        <w:separator/>
      </w:r>
    </w:p>
  </w:footnote>
  <w:footnote w:type="continuationSeparator" w:id="0">
    <w:p w14:paraId="15180121" w14:textId="77777777" w:rsidR="002E232E" w:rsidRDefault="002E232E" w:rsidP="000F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EF02" w14:textId="77777777" w:rsidR="000F77CF" w:rsidRDefault="000F77CF" w:rsidP="000F77CF">
    <w:pPr>
      <w:pStyle w:val="Header"/>
      <w:jc w:val="center"/>
    </w:pPr>
    <w:r>
      <w:rPr>
        <w:noProof/>
        <w:lang w:val="en-US"/>
      </w:rPr>
      <w:drawing>
        <wp:inline distT="0" distB="0" distL="0" distR="0" wp14:anchorId="390D30E1" wp14:editId="4A190CAB">
          <wp:extent cx="1266825" cy="409575"/>
          <wp:effectExtent l="0" t="0" r="9525" b="9525"/>
          <wp:docPr id="3" name="officeArt object" descr="GFH Logo_New.jpg"/>
          <wp:cNvGraphicFramePr/>
          <a:graphic xmlns:a="http://schemas.openxmlformats.org/drawingml/2006/main">
            <a:graphicData uri="http://schemas.openxmlformats.org/drawingml/2006/picture">
              <pic:pic xmlns:pic="http://schemas.openxmlformats.org/drawingml/2006/picture">
                <pic:nvPicPr>
                  <pic:cNvPr id="1073741825" name="GFH Logo_New.jpg" descr="GFH Logo_New.jpg"/>
                  <pic:cNvPicPr>
                    <a:picLocks noChangeAspect="1"/>
                  </pic:cNvPicPr>
                </pic:nvPicPr>
                <pic:blipFill>
                  <a:blip r:embed="rId1"/>
                  <a:stretch>
                    <a:fillRect/>
                  </a:stretch>
                </pic:blipFill>
                <pic:spPr>
                  <a:xfrm>
                    <a:off x="0" y="0"/>
                    <a:ext cx="1267372" cy="40975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F30"/>
    <w:multiLevelType w:val="hybridMultilevel"/>
    <w:tmpl w:val="6B2E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6047"/>
    <w:multiLevelType w:val="hybridMultilevel"/>
    <w:tmpl w:val="9CB8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745C7"/>
    <w:multiLevelType w:val="hybridMultilevel"/>
    <w:tmpl w:val="9EF84146"/>
    <w:lvl w:ilvl="0" w:tplc="5D6C7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60B04"/>
    <w:multiLevelType w:val="hybridMultilevel"/>
    <w:tmpl w:val="89C486CC"/>
    <w:lvl w:ilvl="0" w:tplc="C4D840E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9F08B0"/>
    <w:multiLevelType w:val="hybridMultilevel"/>
    <w:tmpl w:val="ED6E5AEA"/>
    <w:lvl w:ilvl="0" w:tplc="0F28F5B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44652D"/>
    <w:multiLevelType w:val="hybridMultilevel"/>
    <w:tmpl w:val="24E48BA2"/>
    <w:lvl w:ilvl="0" w:tplc="D294112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2E53AC"/>
    <w:multiLevelType w:val="hybridMultilevel"/>
    <w:tmpl w:val="184ED066"/>
    <w:lvl w:ilvl="0" w:tplc="987EB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62D3B"/>
    <w:multiLevelType w:val="hybridMultilevel"/>
    <w:tmpl w:val="CC0E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08884">
    <w:abstractNumId w:val="6"/>
  </w:num>
  <w:num w:numId="2" w16cid:durableId="8529983">
    <w:abstractNumId w:val="3"/>
  </w:num>
  <w:num w:numId="3" w16cid:durableId="317930211">
    <w:abstractNumId w:val="5"/>
  </w:num>
  <w:num w:numId="4" w16cid:durableId="1634218190">
    <w:abstractNumId w:val="7"/>
  </w:num>
  <w:num w:numId="5" w16cid:durableId="1424843165">
    <w:abstractNumId w:val="2"/>
  </w:num>
  <w:num w:numId="6" w16cid:durableId="1547641729">
    <w:abstractNumId w:val="4"/>
  </w:num>
  <w:num w:numId="7" w16cid:durableId="1286960989">
    <w:abstractNumId w:val="1"/>
  </w:num>
  <w:num w:numId="8" w16cid:durableId="92616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D2"/>
    <w:rsid w:val="0002268F"/>
    <w:rsid w:val="0002423C"/>
    <w:rsid w:val="0002628F"/>
    <w:rsid w:val="00030AB3"/>
    <w:rsid w:val="0004503A"/>
    <w:rsid w:val="0008418B"/>
    <w:rsid w:val="000A0939"/>
    <w:rsid w:val="000B1FB6"/>
    <w:rsid w:val="000E2772"/>
    <w:rsid w:val="000F19BE"/>
    <w:rsid w:val="000F77CF"/>
    <w:rsid w:val="00105FF2"/>
    <w:rsid w:val="00127CA1"/>
    <w:rsid w:val="00137395"/>
    <w:rsid w:val="00145EFC"/>
    <w:rsid w:val="00152205"/>
    <w:rsid w:val="0019381C"/>
    <w:rsid w:val="00194925"/>
    <w:rsid w:val="001A7443"/>
    <w:rsid w:val="001E0969"/>
    <w:rsid w:val="001E0AD6"/>
    <w:rsid w:val="0020246C"/>
    <w:rsid w:val="002164E3"/>
    <w:rsid w:val="0024545D"/>
    <w:rsid w:val="0025176C"/>
    <w:rsid w:val="00262415"/>
    <w:rsid w:val="00274C9A"/>
    <w:rsid w:val="0028096D"/>
    <w:rsid w:val="002919AF"/>
    <w:rsid w:val="00292514"/>
    <w:rsid w:val="00293B2E"/>
    <w:rsid w:val="002947A8"/>
    <w:rsid w:val="002A115D"/>
    <w:rsid w:val="002A49BB"/>
    <w:rsid w:val="002A6A77"/>
    <w:rsid w:val="002A7187"/>
    <w:rsid w:val="002D5EC3"/>
    <w:rsid w:val="002D72C1"/>
    <w:rsid w:val="002E232E"/>
    <w:rsid w:val="002E2478"/>
    <w:rsid w:val="002E7EE8"/>
    <w:rsid w:val="002F1E08"/>
    <w:rsid w:val="002F24D9"/>
    <w:rsid w:val="002F354B"/>
    <w:rsid w:val="00312F85"/>
    <w:rsid w:val="00321261"/>
    <w:rsid w:val="003315DB"/>
    <w:rsid w:val="00366541"/>
    <w:rsid w:val="003839B8"/>
    <w:rsid w:val="00385F68"/>
    <w:rsid w:val="003879BD"/>
    <w:rsid w:val="003A5DC0"/>
    <w:rsid w:val="003C535F"/>
    <w:rsid w:val="003D640C"/>
    <w:rsid w:val="003E3944"/>
    <w:rsid w:val="003E5FB4"/>
    <w:rsid w:val="003E758D"/>
    <w:rsid w:val="003F2555"/>
    <w:rsid w:val="00442BF6"/>
    <w:rsid w:val="00446B05"/>
    <w:rsid w:val="0047177D"/>
    <w:rsid w:val="00493EC7"/>
    <w:rsid w:val="004A4F73"/>
    <w:rsid w:val="004B2091"/>
    <w:rsid w:val="004C67AD"/>
    <w:rsid w:val="004E6A71"/>
    <w:rsid w:val="00502A62"/>
    <w:rsid w:val="00511299"/>
    <w:rsid w:val="005168D6"/>
    <w:rsid w:val="00565C8C"/>
    <w:rsid w:val="005A1845"/>
    <w:rsid w:val="005B2DF0"/>
    <w:rsid w:val="005C4DD6"/>
    <w:rsid w:val="005D6B1B"/>
    <w:rsid w:val="005E1108"/>
    <w:rsid w:val="005E3ABD"/>
    <w:rsid w:val="005F242F"/>
    <w:rsid w:val="0060206F"/>
    <w:rsid w:val="0063060B"/>
    <w:rsid w:val="00643563"/>
    <w:rsid w:val="00687AD2"/>
    <w:rsid w:val="00694CF2"/>
    <w:rsid w:val="006B3D47"/>
    <w:rsid w:val="006C102F"/>
    <w:rsid w:val="006C4A70"/>
    <w:rsid w:val="006C7AC4"/>
    <w:rsid w:val="006D0805"/>
    <w:rsid w:val="006E0705"/>
    <w:rsid w:val="00703449"/>
    <w:rsid w:val="00717F11"/>
    <w:rsid w:val="00733D35"/>
    <w:rsid w:val="00734472"/>
    <w:rsid w:val="007425E1"/>
    <w:rsid w:val="00743DEA"/>
    <w:rsid w:val="00745756"/>
    <w:rsid w:val="00783619"/>
    <w:rsid w:val="007A3468"/>
    <w:rsid w:val="007A7C8C"/>
    <w:rsid w:val="007C018C"/>
    <w:rsid w:val="007D7DBE"/>
    <w:rsid w:val="00806014"/>
    <w:rsid w:val="00823FA5"/>
    <w:rsid w:val="008527CB"/>
    <w:rsid w:val="00865DED"/>
    <w:rsid w:val="0088362D"/>
    <w:rsid w:val="008C5510"/>
    <w:rsid w:val="008F6965"/>
    <w:rsid w:val="00951865"/>
    <w:rsid w:val="00953D27"/>
    <w:rsid w:val="00955887"/>
    <w:rsid w:val="00957D2A"/>
    <w:rsid w:val="00965E85"/>
    <w:rsid w:val="00985170"/>
    <w:rsid w:val="009A5D22"/>
    <w:rsid w:val="009B67FE"/>
    <w:rsid w:val="009C52F1"/>
    <w:rsid w:val="009D2B79"/>
    <w:rsid w:val="00A014BD"/>
    <w:rsid w:val="00A06A11"/>
    <w:rsid w:val="00A41762"/>
    <w:rsid w:val="00A43948"/>
    <w:rsid w:val="00A6271C"/>
    <w:rsid w:val="00A7586D"/>
    <w:rsid w:val="00AA65DD"/>
    <w:rsid w:val="00AA68CD"/>
    <w:rsid w:val="00AB2B36"/>
    <w:rsid w:val="00AB5061"/>
    <w:rsid w:val="00AB6162"/>
    <w:rsid w:val="00AC709F"/>
    <w:rsid w:val="00AE4EB1"/>
    <w:rsid w:val="00AF63A3"/>
    <w:rsid w:val="00B03DFC"/>
    <w:rsid w:val="00B05911"/>
    <w:rsid w:val="00B149C7"/>
    <w:rsid w:val="00B16F9A"/>
    <w:rsid w:val="00B22FBB"/>
    <w:rsid w:val="00B35A27"/>
    <w:rsid w:val="00B61C77"/>
    <w:rsid w:val="00B76E2A"/>
    <w:rsid w:val="00B8524B"/>
    <w:rsid w:val="00B91D77"/>
    <w:rsid w:val="00BB75A8"/>
    <w:rsid w:val="00BC655D"/>
    <w:rsid w:val="00BD4CB9"/>
    <w:rsid w:val="00BE1FEE"/>
    <w:rsid w:val="00BE790F"/>
    <w:rsid w:val="00BF5F1E"/>
    <w:rsid w:val="00C02816"/>
    <w:rsid w:val="00C20A31"/>
    <w:rsid w:val="00C274CB"/>
    <w:rsid w:val="00C478EE"/>
    <w:rsid w:val="00C50482"/>
    <w:rsid w:val="00C53838"/>
    <w:rsid w:val="00C615F6"/>
    <w:rsid w:val="00C659D6"/>
    <w:rsid w:val="00C73A7F"/>
    <w:rsid w:val="00C740AB"/>
    <w:rsid w:val="00C752E7"/>
    <w:rsid w:val="00C76CA3"/>
    <w:rsid w:val="00C83A02"/>
    <w:rsid w:val="00C84697"/>
    <w:rsid w:val="00C87FBB"/>
    <w:rsid w:val="00C9406B"/>
    <w:rsid w:val="00CA3E82"/>
    <w:rsid w:val="00CB5519"/>
    <w:rsid w:val="00CD0B30"/>
    <w:rsid w:val="00CE1868"/>
    <w:rsid w:val="00CE68BF"/>
    <w:rsid w:val="00CF2942"/>
    <w:rsid w:val="00CF5A6B"/>
    <w:rsid w:val="00D04919"/>
    <w:rsid w:val="00D1530D"/>
    <w:rsid w:val="00D23241"/>
    <w:rsid w:val="00D26007"/>
    <w:rsid w:val="00D26F79"/>
    <w:rsid w:val="00D40A93"/>
    <w:rsid w:val="00D44640"/>
    <w:rsid w:val="00D46828"/>
    <w:rsid w:val="00D8199D"/>
    <w:rsid w:val="00D82C3D"/>
    <w:rsid w:val="00DB73DA"/>
    <w:rsid w:val="00DC61E1"/>
    <w:rsid w:val="00DC6B1D"/>
    <w:rsid w:val="00DD1F5A"/>
    <w:rsid w:val="00DE6F28"/>
    <w:rsid w:val="00DF25DB"/>
    <w:rsid w:val="00DF26BB"/>
    <w:rsid w:val="00DF5EBB"/>
    <w:rsid w:val="00E232DB"/>
    <w:rsid w:val="00E4324D"/>
    <w:rsid w:val="00E44403"/>
    <w:rsid w:val="00E5265C"/>
    <w:rsid w:val="00E5348F"/>
    <w:rsid w:val="00E566BE"/>
    <w:rsid w:val="00E603B3"/>
    <w:rsid w:val="00E61527"/>
    <w:rsid w:val="00E674C1"/>
    <w:rsid w:val="00E713D0"/>
    <w:rsid w:val="00E73E7F"/>
    <w:rsid w:val="00E93B69"/>
    <w:rsid w:val="00EA0D27"/>
    <w:rsid w:val="00EB0657"/>
    <w:rsid w:val="00EB6B76"/>
    <w:rsid w:val="00EB7812"/>
    <w:rsid w:val="00EC008B"/>
    <w:rsid w:val="00EE6F47"/>
    <w:rsid w:val="00F01993"/>
    <w:rsid w:val="00F02204"/>
    <w:rsid w:val="00F17845"/>
    <w:rsid w:val="00F37E91"/>
    <w:rsid w:val="00F40CEC"/>
    <w:rsid w:val="00F42148"/>
    <w:rsid w:val="00F72B6E"/>
    <w:rsid w:val="00F91034"/>
    <w:rsid w:val="00F937B4"/>
    <w:rsid w:val="00FD249C"/>
    <w:rsid w:val="00FE2276"/>
    <w:rsid w:val="00FE2CC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45E5"/>
  <w15:chartTrackingRefBased/>
  <w15:docId w15:val="{C2B1C814-0C36-4362-A5D9-1FC62E3A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014"/>
    <w:rPr>
      <w:color w:val="0000FF"/>
      <w:u w:val="single"/>
    </w:rPr>
  </w:style>
  <w:style w:type="paragraph" w:customStyle="1" w:styleId="Body">
    <w:name w:val="Body"/>
    <w:rsid w:val="009D2B79"/>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0F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CF"/>
  </w:style>
  <w:style w:type="paragraph" w:styleId="Footer">
    <w:name w:val="footer"/>
    <w:basedOn w:val="Normal"/>
    <w:link w:val="FooterChar"/>
    <w:uiPriority w:val="99"/>
    <w:unhideWhenUsed/>
    <w:rsid w:val="000F7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CF"/>
  </w:style>
  <w:style w:type="character" w:styleId="CommentReference">
    <w:name w:val="annotation reference"/>
    <w:basedOn w:val="DefaultParagraphFont"/>
    <w:uiPriority w:val="99"/>
    <w:semiHidden/>
    <w:unhideWhenUsed/>
    <w:rsid w:val="00717F11"/>
    <w:rPr>
      <w:sz w:val="16"/>
      <w:szCs w:val="16"/>
    </w:rPr>
  </w:style>
  <w:style w:type="paragraph" w:styleId="CommentText">
    <w:name w:val="annotation text"/>
    <w:basedOn w:val="Normal"/>
    <w:link w:val="CommentTextChar"/>
    <w:uiPriority w:val="99"/>
    <w:semiHidden/>
    <w:unhideWhenUsed/>
    <w:rsid w:val="00717F11"/>
    <w:pPr>
      <w:spacing w:line="240" w:lineRule="auto"/>
    </w:pPr>
    <w:rPr>
      <w:sz w:val="20"/>
      <w:szCs w:val="20"/>
    </w:rPr>
  </w:style>
  <w:style w:type="character" w:customStyle="1" w:styleId="CommentTextChar">
    <w:name w:val="Comment Text Char"/>
    <w:basedOn w:val="DefaultParagraphFont"/>
    <w:link w:val="CommentText"/>
    <w:uiPriority w:val="99"/>
    <w:semiHidden/>
    <w:rsid w:val="00717F11"/>
    <w:rPr>
      <w:sz w:val="20"/>
      <w:szCs w:val="20"/>
    </w:rPr>
  </w:style>
  <w:style w:type="paragraph" w:styleId="CommentSubject">
    <w:name w:val="annotation subject"/>
    <w:basedOn w:val="CommentText"/>
    <w:next w:val="CommentText"/>
    <w:link w:val="CommentSubjectChar"/>
    <w:uiPriority w:val="99"/>
    <w:semiHidden/>
    <w:unhideWhenUsed/>
    <w:rsid w:val="00717F11"/>
    <w:rPr>
      <w:b/>
      <w:bCs/>
    </w:rPr>
  </w:style>
  <w:style w:type="character" w:customStyle="1" w:styleId="CommentSubjectChar">
    <w:name w:val="Comment Subject Char"/>
    <w:basedOn w:val="CommentTextChar"/>
    <w:link w:val="CommentSubject"/>
    <w:uiPriority w:val="99"/>
    <w:semiHidden/>
    <w:rsid w:val="00717F11"/>
    <w:rPr>
      <w:b/>
      <w:bCs/>
      <w:sz w:val="20"/>
      <w:szCs w:val="20"/>
    </w:rPr>
  </w:style>
  <w:style w:type="paragraph" w:styleId="BalloonText">
    <w:name w:val="Balloon Text"/>
    <w:basedOn w:val="Normal"/>
    <w:link w:val="BalloonTextChar"/>
    <w:uiPriority w:val="99"/>
    <w:semiHidden/>
    <w:unhideWhenUsed/>
    <w:rsid w:val="0071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11"/>
    <w:rPr>
      <w:rFonts w:ascii="Segoe UI" w:hAnsi="Segoe UI" w:cs="Segoe UI"/>
      <w:sz w:val="18"/>
      <w:szCs w:val="18"/>
    </w:rPr>
  </w:style>
  <w:style w:type="paragraph" w:styleId="ListParagraph">
    <w:name w:val="List Paragraph"/>
    <w:basedOn w:val="Normal"/>
    <w:uiPriority w:val="34"/>
    <w:qFormat/>
    <w:rsid w:val="00AC709F"/>
    <w:pPr>
      <w:spacing w:after="0" w:line="240" w:lineRule="auto"/>
      <w:ind w:left="720"/>
    </w:pPr>
    <w:rPr>
      <w:rFonts w:ascii="Calibri" w:hAnsi="Calibri" w:cs="Calibri"/>
      <w:lang w:eastAsia="en-GB"/>
    </w:rPr>
  </w:style>
  <w:style w:type="paragraph" w:customStyle="1" w:styleId="BodyA">
    <w:name w:val="Body A"/>
    <w:basedOn w:val="Normal"/>
    <w:rsid w:val="00CD0B30"/>
    <w:pPr>
      <w:spacing w:line="252" w:lineRule="auto"/>
    </w:pPr>
    <w:rPr>
      <w:rFonts w:ascii="Calibri" w:hAnsi="Calibri" w:cs="Calibri"/>
      <w:color w:val="000000"/>
      <w:lang w:eastAsia="en-GB"/>
    </w:rPr>
  </w:style>
  <w:style w:type="paragraph" w:customStyle="1" w:styleId="BodyAA">
    <w:name w:val="Body A A"/>
    <w:rsid w:val="00B22FBB"/>
    <w:pPr>
      <w:pBdr>
        <w:top w:val="nil"/>
        <w:left w:val="nil"/>
        <w:bottom w:val="nil"/>
        <w:right w:val="nil"/>
        <w:between w:val="nil"/>
        <w:bar w:val="nil"/>
      </w:pBdr>
      <w:spacing w:line="252" w:lineRule="auto"/>
    </w:pPr>
    <w:rPr>
      <w:rFonts w:ascii="Calibri" w:eastAsia="Arial Unicode MS" w:hAnsi="Calibri" w:cs="Arial Unicode MS"/>
      <w:color w:val="000000"/>
      <w:u w:color="000000"/>
      <w:bdr w:val="nil"/>
      <w:lang w:val="en-US"/>
    </w:rPr>
  </w:style>
  <w:style w:type="paragraph" w:styleId="Revision">
    <w:name w:val="Revision"/>
    <w:hidden/>
    <w:uiPriority w:val="99"/>
    <w:semiHidden/>
    <w:rsid w:val="00C94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94">
      <w:bodyDiv w:val="1"/>
      <w:marLeft w:val="0"/>
      <w:marRight w:val="0"/>
      <w:marTop w:val="0"/>
      <w:marBottom w:val="0"/>
      <w:divBdr>
        <w:top w:val="none" w:sz="0" w:space="0" w:color="auto"/>
        <w:left w:val="none" w:sz="0" w:space="0" w:color="auto"/>
        <w:bottom w:val="none" w:sz="0" w:space="0" w:color="auto"/>
        <w:right w:val="none" w:sz="0" w:space="0" w:color="auto"/>
      </w:divBdr>
    </w:div>
    <w:div w:id="396518907">
      <w:bodyDiv w:val="1"/>
      <w:marLeft w:val="0"/>
      <w:marRight w:val="0"/>
      <w:marTop w:val="0"/>
      <w:marBottom w:val="0"/>
      <w:divBdr>
        <w:top w:val="none" w:sz="0" w:space="0" w:color="auto"/>
        <w:left w:val="none" w:sz="0" w:space="0" w:color="auto"/>
        <w:bottom w:val="none" w:sz="0" w:space="0" w:color="auto"/>
        <w:right w:val="none" w:sz="0" w:space="0" w:color="auto"/>
      </w:divBdr>
    </w:div>
    <w:div w:id="473715643">
      <w:bodyDiv w:val="1"/>
      <w:marLeft w:val="0"/>
      <w:marRight w:val="0"/>
      <w:marTop w:val="0"/>
      <w:marBottom w:val="0"/>
      <w:divBdr>
        <w:top w:val="none" w:sz="0" w:space="0" w:color="auto"/>
        <w:left w:val="none" w:sz="0" w:space="0" w:color="auto"/>
        <w:bottom w:val="none" w:sz="0" w:space="0" w:color="auto"/>
        <w:right w:val="none" w:sz="0" w:space="0" w:color="auto"/>
      </w:divBdr>
    </w:div>
    <w:div w:id="507600319">
      <w:bodyDiv w:val="1"/>
      <w:marLeft w:val="0"/>
      <w:marRight w:val="0"/>
      <w:marTop w:val="0"/>
      <w:marBottom w:val="0"/>
      <w:divBdr>
        <w:top w:val="none" w:sz="0" w:space="0" w:color="auto"/>
        <w:left w:val="none" w:sz="0" w:space="0" w:color="auto"/>
        <w:bottom w:val="none" w:sz="0" w:space="0" w:color="auto"/>
        <w:right w:val="none" w:sz="0" w:space="0" w:color="auto"/>
      </w:divBdr>
    </w:div>
    <w:div w:id="642857169">
      <w:bodyDiv w:val="1"/>
      <w:marLeft w:val="0"/>
      <w:marRight w:val="0"/>
      <w:marTop w:val="0"/>
      <w:marBottom w:val="0"/>
      <w:divBdr>
        <w:top w:val="none" w:sz="0" w:space="0" w:color="auto"/>
        <w:left w:val="none" w:sz="0" w:space="0" w:color="auto"/>
        <w:bottom w:val="none" w:sz="0" w:space="0" w:color="auto"/>
        <w:right w:val="none" w:sz="0" w:space="0" w:color="auto"/>
      </w:divBdr>
    </w:div>
    <w:div w:id="704331757">
      <w:bodyDiv w:val="1"/>
      <w:marLeft w:val="0"/>
      <w:marRight w:val="0"/>
      <w:marTop w:val="0"/>
      <w:marBottom w:val="0"/>
      <w:divBdr>
        <w:top w:val="none" w:sz="0" w:space="0" w:color="auto"/>
        <w:left w:val="none" w:sz="0" w:space="0" w:color="auto"/>
        <w:bottom w:val="none" w:sz="0" w:space="0" w:color="auto"/>
        <w:right w:val="none" w:sz="0" w:space="0" w:color="auto"/>
      </w:divBdr>
    </w:div>
    <w:div w:id="790317181">
      <w:bodyDiv w:val="1"/>
      <w:marLeft w:val="0"/>
      <w:marRight w:val="0"/>
      <w:marTop w:val="0"/>
      <w:marBottom w:val="0"/>
      <w:divBdr>
        <w:top w:val="none" w:sz="0" w:space="0" w:color="auto"/>
        <w:left w:val="none" w:sz="0" w:space="0" w:color="auto"/>
        <w:bottom w:val="none" w:sz="0" w:space="0" w:color="auto"/>
        <w:right w:val="none" w:sz="0" w:space="0" w:color="auto"/>
      </w:divBdr>
    </w:div>
    <w:div w:id="845021354">
      <w:bodyDiv w:val="1"/>
      <w:marLeft w:val="0"/>
      <w:marRight w:val="0"/>
      <w:marTop w:val="0"/>
      <w:marBottom w:val="0"/>
      <w:divBdr>
        <w:top w:val="none" w:sz="0" w:space="0" w:color="auto"/>
        <w:left w:val="none" w:sz="0" w:space="0" w:color="auto"/>
        <w:bottom w:val="none" w:sz="0" w:space="0" w:color="auto"/>
        <w:right w:val="none" w:sz="0" w:space="0" w:color="auto"/>
      </w:divBdr>
    </w:div>
    <w:div w:id="857307165">
      <w:bodyDiv w:val="1"/>
      <w:marLeft w:val="0"/>
      <w:marRight w:val="0"/>
      <w:marTop w:val="0"/>
      <w:marBottom w:val="0"/>
      <w:divBdr>
        <w:top w:val="none" w:sz="0" w:space="0" w:color="auto"/>
        <w:left w:val="none" w:sz="0" w:space="0" w:color="auto"/>
        <w:bottom w:val="none" w:sz="0" w:space="0" w:color="auto"/>
        <w:right w:val="none" w:sz="0" w:space="0" w:color="auto"/>
      </w:divBdr>
    </w:div>
    <w:div w:id="908275099">
      <w:bodyDiv w:val="1"/>
      <w:marLeft w:val="0"/>
      <w:marRight w:val="0"/>
      <w:marTop w:val="0"/>
      <w:marBottom w:val="0"/>
      <w:divBdr>
        <w:top w:val="none" w:sz="0" w:space="0" w:color="auto"/>
        <w:left w:val="none" w:sz="0" w:space="0" w:color="auto"/>
        <w:bottom w:val="none" w:sz="0" w:space="0" w:color="auto"/>
        <w:right w:val="none" w:sz="0" w:space="0" w:color="auto"/>
      </w:divBdr>
    </w:div>
    <w:div w:id="1011834638">
      <w:bodyDiv w:val="1"/>
      <w:marLeft w:val="0"/>
      <w:marRight w:val="0"/>
      <w:marTop w:val="0"/>
      <w:marBottom w:val="0"/>
      <w:divBdr>
        <w:top w:val="none" w:sz="0" w:space="0" w:color="auto"/>
        <w:left w:val="none" w:sz="0" w:space="0" w:color="auto"/>
        <w:bottom w:val="none" w:sz="0" w:space="0" w:color="auto"/>
        <w:right w:val="none" w:sz="0" w:space="0" w:color="auto"/>
      </w:divBdr>
    </w:div>
    <w:div w:id="1198926482">
      <w:bodyDiv w:val="1"/>
      <w:marLeft w:val="0"/>
      <w:marRight w:val="0"/>
      <w:marTop w:val="0"/>
      <w:marBottom w:val="0"/>
      <w:divBdr>
        <w:top w:val="none" w:sz="0" w:space="0" w:color="auto"/>
        <w:left w:val="none" w:sz="0" w:space="0" w:color="auto"/>
        <w:bottom w:val="none" w:sz="0" w:space="0" w:color="auto"/>
        <w:right w:val="none" w:sz="0" w:space="0" w:color="auto"/>
      </w:divBdr>
    </w:div>
    <w:div w:id="1248349974">
      <w:bodyDiv w:val="1"/>
      <w:marLeft w:val="0"/>
      <w:marRight w:val="0"/>
      <w:marTop w:val="0"/>
      <w:marBottom w:val="0"/>
      <w:divBdr>
        <w:top w:val="none" w:sz="0" w:space="0" w:color="auto"/>
        <w:left w:val="none" w:sz="0" w:space="0" w:color="auto"/>
        <w:bottom w:val="none" w:sz="0" w:space="0" w:color="auto"/>
        <w:right w:val="none" w:sz="0" w:space="0" w:color="auto"/>
      </w:divBdr>
    </w:div>
    <w:div w:id="1361903977">
      <w:bodyDiv w:val="1"/>
      <w:marLeft w:val="0"/>
      <w:marRight w:val="0"/>
      <w:marTop w:val="0"/>
      <w:marBottom w:val="0"/>
      <w:divBdr>
        <w:top w:val="none" w:sz="0" w:space="0" w:color="auto"/>
        <w:left w:val="none" w:sz="0" w:space="0" w:color="auto"/>
        <w:bottom w:val="none" w:sz="0" w:space="0" w:color="auto"/>
        <w:right w:val="none" w:sz="0" w:space="0" w:color="auto"/>
      </w:divBdr>
    </w:div>
    <w:div w:id="1369988914">
      <w:bodyDiv w:val="1"/>
      <w:marLeft w:val="0"/>
      <w:marRight w:val="0"/>
      <w:marTop w:val="0"/>
      <w:marBottom w:val="0"/>
      <w:divBdr>
        <w:top w:val="none" w:sz="0" w:space="0" w:color="auto"/>
        <w:left w:val="none" w:sz="0" w:space="0" w:color="auto"/>
        <w:bottom w:val="none" w:sz="0" w:space="0" w:color="auto"/>
        <w:right w:val="none" w:sz="0" w:space="0" w:color="auto"/>
      </w:divBdr>
    </w:div>
    <w:div w:id="1426606398">
      <w:bodyDiv w:val="1"/>
      <w:marLeft w:val="0"/>
      <w:marRight w:val="0"/>
      <w:marTop w:val="0"/>
      <w:marBottom w:val="0"/>
      <w:divBdr>
        <w:top w:val="none" w:sz="0" w:space="0" w:color="auto"/>
        <w:left w:val="none" w:sz="0" w:space="0" w:color="auto"/>
        <w:bottom w:val="none" w:sz="0" w:space="0" w:color="auto"/>
        <w:right w:val="none" w:sz="0" w:space="0" w:color="auto"/>
      </w:divBdr>
    </w:div>
    <w:div w:id="1556818240">
      <w:bodyDiv w:val="1"/>
      <w:marLeft w:val="0"/>
      <w:marRight w:val="0"/>
      <w:marTop w:val="0"/>
      <w:marBottom w:val="0"/>
      <w:divBdr>
        <w:top w:val="none" w:sz="0" w:space="0" w:color="auto"/>
        <w:left w:val="none" w:sz="0" w:space="0" w:color="auto"/>
        <w:bottom w:val="none" w:sz="0" w:space="0" w:color="auto"/>
        <w:right w:val="none" w:sz="0" w:space="0" w:color="auto"/>
      </w:divBdr>
    </w:div>
    <w:div w:id="1837110244">
      <w:bodyDiv w:val="1"/>
      <w:marLeft w:val="0"/>
      <w:marRight w:val="0"/>
      <w:marTop w:val="0"/>
      <w:marBottom w:val="0"/>
      <w:divBdr>
        <w:top w:val="none" w:sz="0" w:space="0" w:color="auto"/>
        <w:left w:val="none" w:sz="0" w:space="0" w:color="auto"/>
        <w:bottom w:val="none" w:sz="0" w:space="0" w:color="auto"/>
        <w:right w:val="none" w:sz="0" w:space="0" w:color="auto"/>
      </w:divBdr>
    </w:div>
    <w:div w:id="1857966461">
      <w:bodyDiv w:val="1"/>
      <w:marLeft w:val="0"/>
      <w:marRight w:val="0"/>
      <w:marTop w:val="0"/>
      <w:marBottom w:val="0"/>
      <w:divBdr>
        <w:top w:val="none" w:sz="0" w:space="0" w:color="auto"/>
        <w:left w:val="none" w:sz="0" w:space="0" w:color="auto"/>
        <w:bottom w:val="none" w:sz="0" w:space="0" w:color="auto"/>
        <w:right w:val="none" w:sz="0" w:space="0" w:color="auto"/>
      </w:divBdr>
    </w:div>
    <w:div w:id="2079935272">
      <w:bodyDiv w:val="1"/>
      <w:marLeft w:val="0"/>
      <w:marRight w:val="0"/>
      <w:marTop w:val="0"/>
      <w:marBottom w:val="0"/>
      <w:divBdr>
        <w:top w:val="none" w:sz="0" w:space="0" w:color="auto"/>
        <w:left w:val="none" w:sz="0" w:space="0" w:color="auto"/>
        <w:bottom w:val="none" w:sz="0" w:space="0" w:color="auto"/>
        <w:right w:val="none" w:sz="0" w:space="0" w:color="auto"/>
      </w:divBdr>
    </w:div>
    <w:div w:id="2101102874">
      <w:bodyDiv w:val="1"/>
      <w:marLeft w:val="0"/>
      <w:marRight w:val="0"/>
      <w:marTop w:val="0"/>
      <w:marBottom w:val="0"/>
      <w:divBdr>
        <w:top w:val="none" w:sz="0" w:space="0" w:color="auto"/>
        <w:left w:val="none" w:sz="0" w:space="0" w:color="auto"/>
        <w:bottom w:val="none" w:sz="0" w:space="0" w:color="auto"/>
        <w:right w:val="none" w:sz="0" w:space="0" w:color="auto"/>
      </w:divBdr>
    </w:div>
    <w:div w:id="21299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hrainbour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2A80-8C18-46D6-A189-990BDB4D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Danesh</dc:creator>
  <cp:keywords/>
  <dc:description/>
  <cp:lastModifiedBy>Abdulla Engineer</cp:lastModifiedBy>
  <cp:revision>3</cp:revision>
  <cp:lastPrinted>2020-11-12T10:26:00Z</cp:lastPrinted>
  <dcterms:created xsi:type="dcterms:W3CDTF">2021-11-04T13:15:00Z</dcterms:created>
  <dcterms:modified xsi:type="dcterms:W3CDTF">2022-11-06T09:09:00Z</dcterms:modified>
</cp:coreProperties>
</file>